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800"/>
      </w:tblGrid>
      <w:tr>
        <w:tc>
          <w:tcPr>
            <w:tcW w:type="dxa" w:w="9360"/>
            <w:shd w:val="clear" w:color="auto" w:fill="B89655"/>
          </w:tcPr>
          <w:p>
            <w:r/>
          </w:p>
        </w:tc>
      </w:tr>
    </w:tbl>
    <w:p>
      <w:pPr>
        <w:spacing w:before="0" w:after="60"/>
      </w:pPr>
    </w:p>
    <w:tbl>
      <w:tblPr>
        <w:tblW w:type="auto" w:w="0"/>
        <w:tblLayout w:type="fixed"/>
        <w:tblLook w:firstColumn="1" w:firstRow="1" w:lastColumn="0" w:lastRow="0" w:noHBand="0" w:noVBand="1" w:val="04A0"/>
      </w:tblPr>
      <w:tblGrid>
        <w:gridCol w:w="2880"/>
        <w:gridCol w:w="7920"/>
      </w:tblGrid>
      <w:tr>
        <w:tc>
          <w:tcPr>
            <w:tcW w:type="dxa" w:w="4680"/>
            <w:vAlign w:val="center"/>
          </w:tcPr>
          <w:p>
            <w:pPr>
              <w:jc w:val="left"/>
            </w:pPr>
            <w:r>
              <w:drawing>
                <wp:inline xmlns:a="http://schemas.openxmlformats.org/drawingml/2006/main" xmlns:pic="http://schemas.openxmlformats.org/drawingml/2006/picture">
                  <wp:extent cx="1554480" cy="6987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54480" cy="698776"/>
                          </a:xfrm>
                          <a:prstGeom prst="rect"/>
                        </pic:spPr>
                      </pic:pic>
                    </a:graphicData>
                  </a:graphic>
                </wp:inline>
              </w:drawing>
            </w:r>
          </w:p>
        </w:tc>
        <w:tc>
          <w:tcPr>
            <w:tcW w:type="dxa" w:w="4680"/>
            <w:vAlign w:val="center"/>
          </w:tcPr>
          <w:p/>
          <w:p>
            <w:pPr>
              <w:spacing w:before="0" w:after="20"/>
              <w:jc w:val="right"/>
            </w:pPr>
            <w:r>
              <w:rPr>
                <w:rFonts w:ascii="Garamond" w:hAnsi="Garamond"/>
                <w:b/>
                <w:i w:val="0"/>
                <w:color w:val="B89655"/>
                <w:sz w:val="18"/>
              </w:rPr>
              <w:t>WYNN RESORTS</w:t>
            </w:r>
          </w:p>
          <w:p>
            <w:pPr>
              <w:spacing w:before="0" w:after="40"/>
              <w:jc w:val="right"/>
            </w:pPr>
            <w:r>
              <w:rPr>
                <w:rFonts w:ascii="Garamond" w:hAnsi="Garamond"/>
                <w:b w:val="0"/>
                <w:i/>
                <w:color w:val="6B6B6B"/>
                <w:sz w:val="16"/>
              </w:rPr>
              <w:t>Office of the COO | Operations Compliance</w:t>
            </w:r>
          </w:p>
          <w:p>
            <w:pPr>
              <w:spacing w:before="0" w:after="0"/>
              <w:jc w:val="right"/>
            </w:pPr>
            <w:r>
              <w:rPr>
                <w:rFonts w:ascii="Garamond" w:hAnsi="Garamond"/>
                <w:b/>
                <w:i w:val="0"/>
                <w:color w:val="C0392B"/>
                <w:sz w:val="15"/>
              </w:rPr>
              <w:t>INTERNAL USE ONLY</w:t>
            </w:r>
          </w:p>
        </w:tc>
      </w:tr>
    </w:tbl>
    <w:p>
      <w:pPr>
        <w:spacing w:before="40" w:after="40"/>
        <w:pBdr>
          <w:bottom w:val="single" w:sz="16" w:space="1" w:color="B89655"/>
        </w:pBdr>
      </w:pPr>
    </w:p>
    <w:p>
      <w:pPr>
        <w:spacing w:before="0" w:after="60"/>
      </w:pPr>
    </w:p>
    <w:p>
      <w:pPr>
        <w:spacing w:before="0" w:after="80"/>
      </w:pPr>
      <w:r>
        <w:rPr>
          <w:rFonts w:ascii="Garamond" w:hAnsi="Garamond"/>
          <w:b/>
          <w:i w:val="0"/>
          <w:color w:val="6B6B6B"/>
          <w:sz w:val="18"/>
        </w:rPr>
        <w:t>INTERNAL AUDIT REPORT</w:t>
        <w:br/>
      </w:r>
      <w:r>
        <w:rPr>
          <w:rFonts w:ascii="Garamond" w:hAnsi="Garamond"/>
          <w:b/>
          <w:i w:val="0"/>
          <w:color w:val="1A1A2E"/>
          <w:sz w:val="36"/>
        </w:rPr>
        <w:t>Operations Standard Operating Procedures Manual -- Selected Excerpts</w:t>
      </w:r>
    </w:p>
    <w:p>
      <w:pPr>
        <w:spacing w:before="40" w:after="40"/>
        <w:pBdr>
          <w:bottom w:val="single" w:sz="8" w:space="1" w:color="B89655"/>
        </w:pBdr>
      </w:pPr>
    </w:p>
    <w:p>
      <w:pPr>
        <w:spacing w:before="0" w:after="120"/>
      </w:pPr>
    </w:p>
    <w:tbl>
      <w:tblPr>
        <w:tblStyle w:val="TableGrid"/>
        <w:tblW w:type="auto" w:w="0"/>
        <w:tblLayout w:type="fixed"/>
        <w:tblLook w:firstColumn="1" w:firstRow="1" w:lastColumn="0" w:lastRow="0" w:noHBand="0" w:noVBand="1" w:val="04A0"/>
      </w:tblPr>
      <w:tblGrid>
        <w:gridCol w:w="2880"/>
        <w:gridCol w:w="7920"/>
      </w:tblGrid>
      <w:tr>
        <w:tc>
          <w:tcPr>
            <w:tcW w:type="dxa" w:w="4680"/>
            <w:shd w:val="clear" w:color="auto" w:fill="1A1A2E"/>
          </w:tcPr>
          <w:p>
            <w:r>
              <w:rPr>
                <w:rFonts w:ascii="Garamond" w:hAnsi="Garamond"/>
                <w:b/>
                <w:i w:val="0"/>
                <w:color w:val="FFFFFF"/>
                <w:sz w:val="18"/>
              </w:rPr>
              <w:t>Manual Version</w:t>
            </w:r>
          </w:p>
        </w:tc>
        <w:tc>
          <w:tcPr>
            <w:tcW w:type="dxa" w:w="4680"/>
            <w:shd w:val="clear" w:color="auto" w:fill="1A1A2E"/>
          </w:tcPr>
          <w:p>
            <w:r>
              <w:rPr>
                <w:rFonts w:ascii="Garamond" w:hAnsi="Garamond"/>
                <w:b w:val="0"/>
                <w:i w:val="0"/>
                <w:color w:val="FFFFFF"/>
                <w:sz w:val="18"/>
              </w:rPr>
              <w:t>4.0</w:t>
            </w:r>
          </w:p>
        </w:tc>
      </w:tr>
      <w:tr>
        <w:tc>
          <w:tcPr>
            <w:tcW w:type="dxa" w:w="4680"/>
            <w:shd w:val="clear" w:color="auto" w:fill="FFFFFF"/>
          </w:tcPr>
          <w:p>
            <w:r>
              <w:rPr>
                <w:rFonts w:ascii="Garamond" w:hAnsi="Garamond"/>
                <w:b/>
                <w:i w:val="0"/>
                <w:color w:val="1A1A2E"/>
                <w:sz w:val="18"/>
              </w:rPr>
              <w:t>Effective</w:t>
            </w:r>
          </w:p>
        </w:tc>
        <w:tc>
          <w:tcPr>
            <w:tcW w:type="dxa" w:w="4680"/>
            <w:shd w:val="clear" w:color="auto" w:fill="FFFFFF"/>
          </w:tcPr>
          <w:p>
            <w:r>
              <w:rPr>
                <w:rFonts w:ascii="Garamond" w:hAnsi="Garamond"/>
                <w:b w:val="0"/>
                <w:i w:val="0"/>
                <w:color w:val="1A1A1A"/>
                <w:sz w:val="18"/>
              </w:rPr>
              <w:t>September 2024</w:t>
            </w:r>
          </w:p>
        </w:tc>
      </w:tr>
      <w:tr>
        <w:tc>
          <w:tcPr>
            <w:tcW w:type="dxa" w:w="4680"/>
            <w:shd w:val="clear" w:color="auto" w:fill="F5F5F5"/>
          </w:tcPr>
          <w:p>
            <w:r>
              <w:rPr>
                <w:rFonts w:ascii="Garamond" w:hAnsi="Garamond"/>
                <w:b/>
                <w:i w:val="0"/>
                <w:color w:val="1A1A2E"/>
                <w:sz w:val="18"/>
              </w:rPr>
              <w:t>Owner</w:t>
            </w:r>
          </w:p>
        </w:tc>
        <w:tc>
          <w:tcPr>
            <w:tcW w:type="dxa" w:w="4680"/>
            <w:shd w:val="clear" w:color="auto" w:fill="F5F5F5"/>
          </w:tcPr>
          <w:p>
            <w:r>
              <w:rPr>
                <w:rFonts w:ascii="Garamond" w:hAnsi="Garamond"/>
                <w:b w:val="0"/>
                <w:i w:val="0"/>
                <w:color w:val="1A1A1A"/>
                <w:sz w:val="18"/>
              </w:rPr>
              <w:t>COO</w:t>
            </w:r>
          </w:p>
        </w:tc>
      </w:tr>
      <w:tr>
        <w:tc>
          <w:tcPr>
            <w:tcW w:type="dxa" w:w="4680"/>
            <w:shd w:val="clear" w:color="auto" w:fill="FFFFFF"/>
          </w:tcPr>
          <w:p>
            <w:r>
              <w:rPr>
                <w:rFonts w:ascii="Garamond" w:hAnsi="Garamond"/>
                <w:b/>
                <w:i w:val="0"/>
                <w:color w:val="1A1A2E"/>
                <w:sz w:val="18"/>
              </w:rPr>
              <w:t>Next Review</w:t>
            </w:r>
          </w:p>
        </w:tc>
        <w:tc>
          <w:tcPr>
            <w:tcW w:type="dxa" w:w="4680"/>
            <w:shd w:val="clear" w:color="auto" w:fill="FFFFFF"/>
          </w:tcPr>
          <w:p>
            <w:r>
              <w:rPr>
                <w:rFonts w:ascii="Garamond" w:hAnsi="Garamond"/>
                <w:b w:val="0"/>
                <w:i w:val="0"/>
                <w:color w:val="1A1A1A"/>
                <w:sz w:val="18"/>
              </w:rPr>
              <w:t>September 2025</w:t>
            </w:r>
          </w:p>
        </w:tc>
      </w:tr>
    </w:tbl>
    <w:p>
      <w:pPr>
        <w:spacing w:before="0" w:after="160"/>
      </w:pPr>
    </w:p>
    <w:p>
      <w:pPr>
        <w:spacing w:before="280" w:after="80"/>
      </w:pPr>
      <w:r>
        <w:rPr>
          <w:rFonts w:ascii="Garamond" w:hAnsi="Garamond"/>
          <w:b/>
          <w:i w:val="0"/>
          <w:color w:val="1A1A2E"/>
          <w:sz w:val="30"/>
        </w:rPr>
        <w:t>SOP-OPS-001: Guest Escalation Handling</w:t>
      </w:r>
    </w:p>
    <w:p>
      <w:pPr>
        <w:spacing w:before="40" w:after="40"/>
        <w:pBdr>
          <w:bottom w:val="single" w:sz="16" w:space="1" w:color="B89655"/>
        </w:pBdr>
      </w:pPr>
    </w:p>
    <w:p>
      <w:pPr>
        <w:spacing w:before="20" w:after="80"/>
      </w:pPr>
      <w:r>
        <w:rPr>
          <w:rFonts w:ascii="Garamond" w:hAnsi="Garamond"/>
          <w:b w:val="0"/>
          <w:i w:val="0"/>
          <w:color w:val="1A1A1A"/>
          <w:sz w:val="20"/>
        </w:rPr>
        <w:t>Purpose: To ensure all guest complaints and escalations are resolved within defined timeframes with appropriate compensation authority and documentation. Scope: All guest-facing departments at Wynn Las Vegas and Encore Boston Harbor. Procedure: Any team member receiving a guest complaint must log the incident in ServiceNow within 15 minutes using the Guest Escalation form. The duty manager must be notified immediately for any complaint rated Priority 2 or above. Resolution must be offered within 2 hours of the initial complaint. All compensatory offers above $500 require Duty Manager approval; above $2,500 require Director approval; above $10,000 require VP Hotel Operations approval.</w:t>
      </w:r>
    </w:p>
    <w:p>
      <w:pPr>
        <w:spacing w:before="160" w:after="80"/>
      </w:pPr>
      <w:r>
        <w:rPr>
          <w:rFonts w:ascii="Garamond" w:hAnsi="Garamond"/>
          <w:b/>
          <w:i w:val="0"/>
          <w:color w:val="1A1A2E"/>
          <w:sz w:val="24"/>
        </w:rPr>
        <w:t>SOP-OPS-002: Table Games Floor Changeover</w:t>
      </w:r>
    </w:p>
    <w:p>
      <w:pPr>
        <w:spacing w:before="40" w:after="40"/>
        <w:pBdr>
          <w:bottom w:val="single" w:sz="8" w:space="1" w:color="6B6B6B"/>
        </w:pBdr>
      </w:pPr>
    </w:p>
    <w:p>
      <w:pPr>
        <w:spacing w:before="20" w:after="80"/>
      </w:pPr>
      <w:r>
        <w:rPr>
          <w:rFonts w:ascii="Garamond" w:hAnsi="Garamond"/>
          <w:b w:val="0"/>
          <w:i w:val="0"/>
          <w:color w:val="1A1A1A"/>
          <w:sz w:val="20"/>
        </w:rPr>
        <w:t>Purpose: To define the standardized procedure for opening and closing table game sections, including chip inventory reconciliation, table inspection, and staffing transitions. Procedure: Changeover begins 30 minutes prior to shift start. Dealer and pit supervisor must verify chip counts match Opera table management system records. Any discrepancy above $500 must be reported to Cage Manager immediately and documented in the daily table reconciliation log. Tables may not open without green-light sign-off from Pit Supervisor and completion of the 12-point table inspection checklist in IGT Advantage.</w:t>
      </w:r>
    </w:p>
    <w:p>
      <w:pPr>
        <w:spacing w:before="160" w:after="80"/>
      </w:pPr>
      <w:r>
        <w:rPr>
          <w:rFonts w:ascii="Garamond" w:hAnsi="Garamond"/>
          <w:b/>
          <w:i w:val="0"/>
          <w:color w:val="1A1A2E"/>
          <w:sz w:val="24"/>
        </w:rPr>
        <w:t>SOP-OPS-003: High-Value Guest Amenity Authorization</w:t>
      </w:r>
    </w:p>
    <w:p>
      <w:pPr>
        <w:spacing w:before="40" w:after="40"/>
        <w:pBdr>
          <w:bottom w:val="single" w:sz="8" w:space="1" w:color="6B6B6B"/>
        </w:pBdr>
      </w:pPr>
    </w:p>
    <w:p>
      <w:pPr>
        <w:spacing w:before="20" w:after="80"/>
      </w:pPr>
      <w:r>
        <w:rPr>
          <w:rFonts w:ascii="Garamond" w:hAnsi="Garamond"/>
          <w:b w:val="0"/>
          <w:i w:val="0"/>
          <w:color w:val="1A1A1A"/>
          <w:sz w:val="20"/>
        </w:rPr>
        <w:t>Purpose: To govern the authorization and delivery of complimentary amenities for Wynn Elite Tier 4 and above guests. Procedure: Standard amenity packages for Tier 4 guests (value up to $350) may be authorized by Concierge Supervisor. Packages with value $350-$1,500 require Casino Host or Front Office Manager approval. Packages above $1,500 require VP Hotel Operations approval. All amenities must be logged in Salesforce CRM against the guest record at time of order and confirmed delivered with timestamp in ServiceNow within 30 minutes of scheduled delivery time.</w:t>
      </w: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b w:val="0"/>
        <w:i/>
        <w:color w:val="6B6B6B"/>
        <w:sz w:val="15"/>
      </w:rPr>
      <w:t>Wynn Resorts, Limited  |  Strictly Confidential  |  03-sop-selected-excerpts.docx  |  Do not distribute without authorization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