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Strategy &amp; Operations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Hospitality Operations Benchmark Report -- 2024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Data Source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STR Inc., HVS, Internal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Benchmark Peers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Las Vegas luxury segment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January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Hospitality Operations Benchmark -- Wynn vs Luxury Peer Set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Wynn Actuals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Peer Median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Peer Top Quartile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Gap to Top Quartile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RevPAR ($)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598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541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624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+26 (favorable)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Occupancy (%)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89.4%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86.1%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91.8%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-2.4pp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Average Daily Rate ($)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669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627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679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-10 (near parity)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NPS Score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71.3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-3.7pp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Guest Complaint Rate (per 1000)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8.4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11.2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5.8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+2.6 (unfavorable)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Check-In Wait Time (min)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4.8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2.9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+1.4 (unfavorable)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F&amp;B Revenue per Cover ($)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76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68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82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-6 (unfavorable)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Margin (%)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32.1%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28.4%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34.2%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-2.1pp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Labor Cost as % of Revenue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34.7%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36.2%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32.1%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+2.6pp (unfavorable)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Energy Cost per Occupied Room ($)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18.4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21.7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16.2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+2.2 (unfavorable)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Staff Absenteeism (%)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4.1%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4.8%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3.2%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+0.9pp (unfavorable)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Table Game Hold (%)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17.1%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15.8%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18.2%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-1.1pp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Slot Handle per Unit per Day ($)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487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463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531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-44 (unfavorable)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Revenue per Square Foot ($)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1,847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1,623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2,104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-257 (unfavorable)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Amenity Delivery Accuracy (%)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92.4%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89.1%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97.8%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-5.4pp (unfavorable)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02-hospitality-operations-benchmark-2024.docx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