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Procurement &amp; Legal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Critical Vendor Contract Register -- Active Agreements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As Of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March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Procurement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Total Annual Spend Under Contract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$47.2M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Critical Vendor Contract Register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Vendor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Annual Value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Contract Start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Contract End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Auto-Renew?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Key Terms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Sysco Corporation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Food &amp; Beverage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$8.4M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2024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2025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(90-day notice)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Pricing locked through Q2 2025; CPI adjustment H2 2025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US Foods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Food &amp; Beverage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$6.1M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2023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2025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(60-day notice)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Volume rebate of 2.1% above $5M threshold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Johnson Controls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HVAC Maintenance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$3.2M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2022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2027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SLA: 4-hour response for P1 HVAC events; 8 preventive maintenance visits/year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Aramark Uniform Services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Uniforms / Laundry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$2.8M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Jul 2023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 2026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(90-day notice)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Custom uniform program; 5-day turnaround SLA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Ecolab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Cleaning &amp; Sanitation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$1.9M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2024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2026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Price locked for full contract term; annual audit rights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AVI-SPL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 / Event Technology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$4.7M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2023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2025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(60-day notice)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Event support SLA: 2-hour on-site response; RENEW OR REPLACE decision needed Q3 2025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Trane Technologies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Refrigeration Systems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$2.1M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 2021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Aug 2025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Critical: Contract expires Aug 2025; successor contract negotiation in progress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ADT Commercial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Security Systems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$3.4M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2024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2028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5-year term; annual performance reviews; termination for cause with 90-day notice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Interior Logic Group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FF&amp;E Procurement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$6.8M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2024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2027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Project-based; master agreement with call-off orders; NTE limits per project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Cintas Corporation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Linens &amp; Towels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$2.3M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2024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2026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Yes (90-day notice)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Quality SLA: 0.5% defect rate maximum; replacement within 24 hours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Carrier Global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Fire &amp; Safety Systems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$1.8M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2023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Dec 2025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Regulatory compliance requirement; must renew before Dec 31 2025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Otis Elevator Company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Elevator Maintenance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$3.7M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 2022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 2027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48 elevators across both properties; 2-hour response SLA; annual code compliance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02-critical-vendor-contract-register.docx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