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Procurement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Supply Chain Resilience &amp; Risk Assessment -- FY2025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Assessment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February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Procurement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Methodology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Single-source risk mapping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Supply Chain Risk Assessment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Key Supplier(s)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Single Source Risk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Alternate Available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Lead Time Risk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Geographic Risk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Overall Risk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Premium Produce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Sysco + US Foods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(2 suppliers)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(local markets)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(domestic)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HVAC Parts &amp; Service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Johnson Controls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(sole supplier)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Limited (2-week lead)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Custom Uniforms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Aramark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(sole supplier)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6-month lead time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 (some overseas manufacturing)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Equipment (slot machines)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IGT, Aristocrat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 (2 suppliers)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Limited in short term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(8-week lead)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(overseas manufacturing)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Playing Cards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Gemaco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(sole supplier)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(Cartamundi 4-week lead)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Alcohol &amp; Wine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Southern Glazers, RNDC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(2 distributors)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Multiple options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Linen &amp; Towels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Cintas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(Alsco 3-week transition)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Cleaning Chemicals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Ecolab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(Diversey)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POS Hardware (F&amp;B)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NCR Voyix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(sole supplier)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Limited (Lightspeed 8-week)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Elevator Components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Otis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(proprietary parts)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None for Otis elevators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 (4-6 week lead)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High-Risk Items Requiring Action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HVAC Parts &amp; Service (Johnson Controls): Sole source dependency with limited alternates; recommend qualifying a second MRO supplier for critical parts within 90 days and establishing a 30-day spare parts inventory buffer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Casino Equipment Lead Times: 8-week lead from IGT and Aristocrat creates vulnerability for any urgent floor refresh; recommend establishing a 20-unit emergency stock arrangement with preferred dealer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Elevator Components (Otis): Proprietary parts with no alternative; recommend negotiating a critical parts stockage agreement with Otis and establishing emergency response SLA of less than 4 hours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POS Hardware (NCR Voyix): Single source with medium lead time; recommend qualifying Lightspeed as an approved alternate and maintaining 10% spare device inventory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03-supply-chain-risk-assessment-fy2025.docx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