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Human Resources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Employee Engagement Survey -- FY2024 Results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Survey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November 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Participation Rate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74%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Administered By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Gallup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Total Respondents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3,847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Engagement Survey Results by Dimension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Score (%)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Benchmark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YoY Change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Overall Engagement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64%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72% (hospitality sector)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(8pp)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(2pp)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 know what is expected of me at work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78%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82%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(4pp)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+1pp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 have the materials and equipment I need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71%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76%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(5pp)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(1pp)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My manager cares about me as a person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69%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(5pp)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+2pp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 have had development opportunities this year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51%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63%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(12pp)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(4pp)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My opinions seem to count at work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54%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61%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(7pp)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(3pp)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 would recommend this company as a great place to work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62%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71%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(9pp)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(2pp)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 see myself working here in 2 years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58%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67%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(9pp)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(4pp)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leadership communicates a clear direction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61%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69%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(8pp)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(1pp)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 am recognized for doing good work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63%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70%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(7pp)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(1pp)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Top 3 Themes Requiring Action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Development &amp; Growth (51% score, -12pp vs benchmark): Team members, especially in F&amp;B and Housekeeping, report feeling stuck with no clear career path. Only 28% of frontline staff participated in any formal training in FY2024. Immediate action required: structured development pathway and quarterly career conversations with all team members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Retention Intent (58% score, -9pp vs benchmark, -4pp YoY): Declining retention intent directly correlates with absenteeism increases. Exit interview data shows 64% of voluntary resignations cited lack of growth opportunity as primary reason. Urgent retention interventions required for high performers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Voice and Influence (54% score, -7pp vs benchmark): Team members do not feel their input shapes decisions. 71% of respondents reported that suggestions submitted through the suggestion box were never acknowledged. Implement a structured idea-to-action pipeline and close-the-loop communications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01-employee-engagement-survey-fy2024.docx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