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Organizational Excellence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Change Management Initiative Outcomes -- FY2022 to FY2024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FY2022-FY2024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 of Organizational Excellence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Change Initiative Outcomes Register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Initiative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Change Type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Adoption Rate (90-day)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Attrition Impact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Achieved Stated Goal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Key Lessons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Workday HCM Implementation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properties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Technology + Process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61%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Temporary +1.2pp attrition in Q3 2022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Partial -- payroll accuracy improved; scheduling module underused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Training was insufficient; managers needed 2x more support than budgeted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 Recovery Program Redesign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Hotel Operations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Process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84%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measurable impact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-- complaint resolution time reduced 28%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Frontline involvement in design was the key success factor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New Table Games Changeover SOP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Operations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Process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91%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measurable impact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-- downtime reduced from 22 min to 14 min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Simple, well-documented SOPs adopted faster than technology changes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CRM Rollout (Marketing)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Marketing + Casino Host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Technology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48%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measurable impact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-- Casino Host adoption too low to deliver expected revenue uplift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Lacked exec sponsor; Casino Hosts not engaged in requirements gathering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Restructure of F&amp;B Division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Operations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Organizational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73%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Temporary +2.4pp attrition in roles affected by role redesign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-- labor cost reduced 8.1%; RevPAC improved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Change communications were strong; transition support was adequate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Sustainability Program Launch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departments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Culture + Process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67%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measurable impact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Partial -- energy KPIs met; water KPIs missed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Culture change requires longer runway; operational targets achieved more easily than mindset change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New Hire Onboarding Redesign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departments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Process + Culture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89%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Early data suggests -0.8pp 90-day attrition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-- 90-day engagement score improved 9pp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Best-practice: co-designed with frontline team members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Digital Tipping Program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+ Hotel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Technology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77%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measurable impact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Partial -- guest adoption 62%, below 80% target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communication about the program was launched too late; needed pre-arrival touchpoints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02-change-initiative-outcomes-fy2022-fy2024.docx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