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800"/>
      </w:tblGrid>
      <w:tr>
        <w:tc>
          <w:tcPr>
            <w:tcW w:type="dxa" w:w="9360"/>
            <w:shd w:val="clear" w:color="auto" w:fill="B89655"/>
          </w:tcPr>
          <w:p>
            <w:r/>
          </w:p>
        </w:tc>
      </w:tr>
    </w:tbl>
    <w:p>
      <w:pPr>
        <w:spacing w:before="0" w:after="60"/>
      </w:pPr>
    </w:p>
    <w:tbl>
      <w:tblPr>
        <w:tblW w:type="auto" w:w="0"/>
        <w:tblLayout w:type="fixed"/>
        <w:tblLook w:firstColumn="1" w:firstRow="1" w:lastColumn="0" w:lastRow="0" w:noHBand="0" w:noVBand="1" w:val="04A0"/>
      </w:tblPr>
      <w:tblGrid>
        <w:gridCol w:w="2880"/>
        <w:gridCol w:w="7920"/>
      </w:tblGrid>
      <w:tr>
        <w:tc>
          <w:tcPr>
            <w:tcW w:type="dxa" w:w="4680"/>
            <w:vAlign w:val="center"/>
          </w:tcPr>
          <w:p>
            <w:pPr>
              <w:jc w:val="left"/>
            </w:pPr>
            <w:r>
              <w:drawing>
                <wp:inline xmlns:a="http://schemas.openxmlformats.org/drawingml/2006/main" xmlns:pic="http://schemas.openxmlformats.org/drawingml/2006/picture">
                  <wp:extent cx="1554480" cy="69877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554480" cy="698776"/>
                          </a:xfrm>
                          <a:prstGeom prst="rect"/>
                        </pic:spPr>
                      </pic:pic>
                    </a:graphicData>
                  </a:graphic>
                </wp:inline>
              </w:drawing>
            </w:r>
          </w:p>
        </w:tc>
        <w:tc>
          <w:tcPr>
            <w:tcW w:type="dxa" w:w="4680"/>
            <w:vAlign w:val="center"/>
          </w:tcPr>
          <w:p/>
          <w:p>
            <w:pPr>
              <w:spacing w:before="0" w:after="20"/>
              <w:jc w:val="right"/>
            </w:pPr>
            <w:r>
              <w:rPr>
                <w:rFonts w:ascii="Garamond" w:hAnsi="Garamond"/>
                <w:b/>
                <w:i w:val="0"/>
                <w:color w:val="B89655"/>
                <w:sz w:val="18"/>
              </w:rPr>
              <w:t>WYNN RESORTS</w:t>
            </w:r>
          </w:p>
          <w:p>
            <w:pPr>
              <w:spacing w:before="0" w:after="40"/>
              <w:jc w:val="right"/>
            </w:pPr>
            <w:r>
              <w:rPr>
                <w:rFonts w:ascii="Garamond" w:hAnsi="Garamond"/>
                <w:b w:val="0"/>
                <w:i/>
                <w:color w:val="6B6B6B"/>
                <w:sz w:val="16"/>
              </w:rPr>
              <w:t>Office of the COO | Organizational Excellence</w:t>
            </w:r>
          </w:p>
          <w:p>
            <w:pPr>
              <w:spacing w:before="0" w:after="0"/>
              <w:jc w:val="right"/>
            </w:pPr>
            <w:r>
              <w:rPr>
                <w:rFonts w:ascii="Garamond" w:hAnsi="Garamond"/>
                <w:b/>
                <w:i w:val="0"/>
                <w:color w:val="C0392B"/>
                <w:sz w:val="15"/>
              </w:rPr>
              <w:t>INTERNAL USE ONLY</w:t>
            </w:r>
          </w:p>
        </w:tc>
      </w:tr>
    </w:tbl>
    <w:p>
      <w:pPr>
        <w:spacing w:before="40" w:after="40"/>
        <w:pBdr>
          <w:bottom w:val="single" w:sz="16" w:space="1" w:color="B89655"/>
        </w:pBdr>
      </w:pPr>
    </w:p>
    <w:p>
      <w:pPr>
        <w:spacing w:before="0" w:after="60"/>
      </w:pPr>
    </w:p>
    <w:p>
      <w:pPr>
        <w:spacing w:before="0" w:after="80"/>
      </w:pPr>
      <w:r>
        <w:rPr>
          <w:rFonts w:ascii="Garamond" w:hAnsi="Garamond"/>
          <w:b/>
          <w:i w:val="0"/>
          <w:color w:val="6B6B6B"/>
          <w:sz w:val="18"/>
        </w:rPr>
        <w:t>INTERNAL AUDIT REPORT</w:t>
        <w:br/>
      </w:r>
      <w:r>
        <w:rPr>
          <w:rFonts w:ascii="Garamond" w:hAnsi="Garamond"/>
          <w:b/>
          <w:i w:val="0"/>
          <w:color w:val="1A1A2E"/>
          <w:sz w:val="36"/>
        </w:rPr>
        <w:t>Change Management Playbook -- Standard Approach</w:t>
      </w:r>
    </w:p>
    <w:p>
      <w:pPr>
        <w:spacing w:before="40" w:after="40"/>
        <w:pBdr>
          <w:bottom w:val="single" w:sz="8" w:space="1" w:color="B89655"/>
        </w:pBdr>
      </w:pPr>
    </w:p>
    <w:p>
      <w:pPr>
        <w:spacing w:before="0" w:after="120"/>
      </w:pPr>
    </w:p>
    <w:tbl>
      <w:tblPr>
        <w:tblStyle w:val="TableGrid"/>
        <w:tblW w:type="auto" w:w="0"/>
        <w:tblLayout w:type="fixed"/>
        <w:tblLook w:firstColumn="1" w:firstRow="1" w:lastColumn="0" w:lastRow="0" w:noHBand="0" w:noVBand="1" w:val="04A0"/>
      </w:tblPr>
      <w:tblGrid>
        <w:gridCol w:w="2880"/>
        <w:gridCol w:w="7920"/>
      </w:tblGrid>
      <w:tr>
        <w:tc>
          <w:tcPr>
            <w:tcW w:type="dxa" w:w="4680"/>
            <w:shd w:val="clear" w:color="auto" w:fill="1A1A2E"/>
          </w:tcPr>
          <w:p>
            <w:r>
              <w:rPr>
                <w:rFonts w:ascii="Garamond" w:hAnsi="Garamond"/>
                <w:b/>
                <w:i w:val="0"/>
                <w:color w:val="FFFFFF"/>
                <w:sz w:val="18"/>
              </w:rPr>
              <w:t>Version</w:t>
            </w:r>
          </w:p>
        </w:tc>
        <w:tc>
          <w:tcPr>
            <w:tcW w:type="dxa" w:w="4680"/>
            <w:shd w:val="clear" w:color="auto" w:fill="1A1A2E"/>
          </w:tcPr>
          <w:p>
            <w:r>
              <w:rPr>
                <w:rFonts w:ascii="Garamond" w:hAnsi="Garamond"/>
                <w:b w:val="0"/>
                <w:i w:val="0"/>
                <w:color w:val="FFFFFF"/>
                <w:sz w:val="18"/>
              </w:rPr>
              <w:t>2.0</w:t>
            </w:r>
          </w:p>
        </w:tc>
      </w:tr>
      <w:tr>
        <w:tc>
          <w:tcPr>
            <w:tcW w:type="dxa" w:w="4680"/>
            <w:shd w:val="clear" w:color="auto" w:fill="FFFFFF"/>
          </w:tcPr>
          <w:p>
            <w:r>
              <w:rPr>
                <w:rFonts w:ascii="Garamond" w:hAnsi="Garamond"/>
                <w:b/>
                <w:i w:val="0"/>
                <w:color w:val="1A1A2E"/>
                <w:sz w:val="18"/>
              </w:rPr>
              <w:t>Owner</w:t>
            </w:r>
          </w:p>
        </w:tc>
        <w:tc>
          <w:tcPr>
            <w:tcW w:type="dxa" w:w="4680"/>
            <w:shd w:val="clear" w:color="auto" w:fill="FFFFFF"/>
          </w:tcPr>
          <w:p>
            <w:r>
              <w:rPr>
                <w:rFonts w:ascii="Garamond" w:hAnsi="Garamond"/>
                <w:b w:val="0"/>
                <w:i w:val="0"/>
                <w:color w:val="1A1A1A"/>
                <w:sz w:val="18"/>
              </w:rPr>
              <w:t>COO</w:t>
            </w:r>
          </w:p>
        </w:tc>
      </w:tr>
      <w:tr>
        <w:tc>
          <w:tcPr>
            <w:tcW w:type="dxa" w:w="4680"/>
            <w:shd w:val="clear" w:color="auto" w:fill="F5F5F5"/>
          </w:tcPr>
          <w:p>
            <w:r>
              <w:rPr>
                <w:rFonts w:ascii="Garamond" w:hAnsi="Garamond"/>
                <w:b/>
                <w:i w:val="0"/>
                <w:color w:val="1A1A2E"/>
                <w:sz w:val="18"/>
              </w:rPr>
              <w:t>Effective</w:t>
            </w:r>
          </w:p>
        </w:tc>
        <w:tc>
          <w:tcPr>
            <w:tcW w:type="dxa" w:w="4680"/>
            <w:shd w:val="clear" w:color="auto" w:fill="F5F5F5"/>
          </w:tcPr>
          <w:p>
            <w:r>
              <w:rPr>
                <w:rFonts w:ascii="Garamond" w:hAnsi="Garamond"/>
                <w:b w:val="0"/>
                <w:i w:val="0"/>
                <w:color w:val="1A1A1A"/>
                <w:sz w:val="18"/>
              </w:rPr>
              <w:t>January 2025</w:t>
            </w:r>
          </w:p>
        </w:tc>
      </w:tr>
    </w:tbl>
    <w:p>
      <w:pPr>
        <w:spacing w:before="0" w:after="160"/>
      </w:pPr>
    </w:p>
    <w:p>
      <w:pPr>
        <w:spacing w:before="280" w:after="80"/>
      </w:pPr>
      <w:r>
        <w:rPr>
          <w:rFonts w:ascii="Garamond" w:hAnsi="Garamond"/>
          <w:b/>
          <w:i w:val="0"/>
          <w:color w:val="1A1A2E"/>
          <w:sz w:val="30"/>
        </w:rPr>
        <w:t>Phase 1: Change Readiness Assessment</w:t>
      </w:r>
    </w:p>
    <w:p>
      <w:pPr>
        <w:spacing w:before="40" w:after="40"/>
        <w:pBdr>
          <w:bottom w:val="single" w:sz="16" w:space="1" w:color="B89655"/>
        </w:pBdr>
      </w:pPr>
    </w:p>
    <w:p>
      <w:pPr>
        <w:spacing w:before="20" w:after="80"/>
      </w:pPr>
      <w:r>
        <w:rPr>
          <w:rFonts w:ascii="Garamond" w:hAnsi="Garamond"/>
          <w:b w:val="0"/>
          <w:i w:val="0"/>
          <w:color w:val="1A1A1A"/>
          <w:sz w:val="20"/>
        </w:rPr>
        <w:t>Before any change initiative is approved for execution, a structured change readiness assessment must be completed. The assessment covers: organizational capacity (is the team able to absorb another change given concurrent initiatives?), leadership alignment (do all affected department leaders support the change?), historical change success rate (what is the track record of similar change types?), and frontline readiness (are the people most affected ready and able to change?). The assessment is scored and any initiative scoring below 60% readiness requires a change readiness plan to be developed and approved before proceeding.</w:t>
      </w:r>
    </w:p>
    <w:p>
      <w:pPr>
        <w:spacing w:before="160" w:after="80"/>
      </w:pPr>
      <w:r>
        <w:rPr>
          <w:rFonts w:ascii="Garamond" w:hAnsi="Garamond"/>
          <w:b/>
          <w:i w:val="0"/>
          <w:color w:val="1A1A2E"/>
          <w:sz w:val="24"/>
        </w:rPr>
        <w:t>Phase 2: Stakeholder Mapping</w:t>
      </w:r>
    </w:p>
    <w:p>
      <w:pPr>
        <w:spacing w:before="40" w:after="40"/>
        <w:pBdr>
          <w:bottom w:val="single" w:sz="8" w:space="1" w:color="6B6B6B"/>
        </w:pBdr>
      </w:pP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val="clear" w:color="auto" w:fill="1A1A2E"/>
          </w:tcPr>
          <w:p>
            <w:pPr>
              <w:jc w:val="center"/>
            </w:pPr>
            <w:r>
              <w:rPr>
                <w:rFonts w:ascii="Garamond" w:hAnsi="Garamond"/>
                <w:b/>
                <w:i w:val="0"/>
                <w:color w:val="FFFFFF"/>
                <w:sz w:val="18"/>
              </w:rPr>
              <w:t>Stakeholder Group</w:t>
            </w:r>
          </w:p>
        </w:tc>
        <w:tc>
          <w:tcPr>
            <w:tcW w:type="dxa" w:w="1560"/>
            <w:shd w:val="clear" w:color="auto" w:fill="1A1A2E"/>
          </w:tcPr>
          <w:p>
            <w:pPr>
              <w:jc w:val="center"/>
            </w:pPr>
            <w:r>
              <w:rPr>
                <w:rFonts w:ascii="Garamond" w:hAnsi="Garamond"/>
                <w:b/>
                <w:i w:val="0"/>
                <w:color w:val="FFFFFF"/>
                <w:sz w:val="18"/>
              </w:rPr>
              <w:t>Influence Level</w:t>
            </w:r>
          </w:p>
        </w:tc>
        <w:tc>
          <w:tcPr>
            <w:tcW w:type="dxa" w:w="1560"/>
            <w:shd w:val="clear" w:color="auto" w:fill="1A1A2E"/>
          </w:tcPr>
          <w:p>
            <w:pPr>
              <w:jc w:val="center"/>
            </w:pPr>
            <w:r>
              <w:rPr>
                <w:rFonts w:ascii="Garamond" w:hAnsi="Garamond"/>
                <w:b/>
                <w:i w:val="0"/>
                <w:color w:val="FFFFFF"/>
                <w:sz w:val="18"/>
              </w:rPr>
              <w:t>Support Level</w:t>
            </w:r>
          </w:p>
        </w:tc>
        <w:tc>
          <w:tcPr>
            <w:tcW w:type="dxa" w:w="1560"/>
            <w:shd w:val="clear" w:color="auto" w:fill="1A1A2E"/>
          </w:tcPr>
          <w:p>
            <w:pPr>
              <w:jc w:val="center"/>
            </w:pPr>
            <w:r>
              <w:rPr>
                <w:rFonts w:ascii="Garamond" w:hAnsi="Garamond"/>
                <w:b/>
                <w:i w:val="0"/>
                <w:color w:val="FFFFFF"/>
                <w:sz w:val="18"/>
              </w:rPr>
              <w:t>Change Impact</w:t>
            </w:r>
          </w:p>
        </w:tc>
        <w:tc>
          <w:tcPr>
            <w:tcW w:type="dxa" w:w="1560"/>
            <w:shd w:val="clear" w:color="auto" w:fill="1A1A2E"/>
          </w:tcPr>
          <w:p>
            <w:pPr>
              <w:jc w:val="center"/>
            </w:pPr>
            <w:r>
              <w:rPr>
                <w:rFonts w:ascii="Garamond" w:hAnsi="Garamond"/>
                <w:b/>
                <w:i w:val="0"/>
                <w:color w:val="FFFFFF"/>
                <w:sz w:val="18"/>
              </w:rPr>
              <w:t>Engagement Strategy</w:t>
            </w:r>
          </w:p>
        </w:tc>
        <w:tc>
          <w:tcPr>
            <w:tcW w:type="dxa" w:w="1560"/>
            <w:shd w:val="clear" w:color="auto" w:fill="1A1A2E"/>
          </w:tcPr>
          <w:p>
            <w:pPr>
              <w:jc w:val="center"/>
            </w:pPr>
            <w:r>
              <w:rPr>
                <w:rFonts w:ascii="Garamond" w:hAnsi="Garamond"/>
                <w:b/>
                <w:i w:val="0"/>
                <w:color w:val="FFFFFF"/>
                <w:sz w:val="18"/>
              </w:rPr>
              <w:t>Owner</w:t>
            </w:r>
          </w:p>
        </w:tc>
      </w:tr>
      <w:tr>
        <w:tc>
          <w:tcPr>
            <w:tcW w:type="dxa" w:w="1560"/>
            <w:shd w:val="clear" w:color="auto" w:fill="F5F5F5"/>
          </w:tcPr>
          <w:p>
            <w:r>
              <w:rPr>
                <w:rFonts w:ascii="Garamond" w:hAnsi="Garamond"/>
                <w:b w:val="0"/>
                <w:i w:val="0"/>
                <w:color w:val="1A1A1A"/>
                <w:sz w:val="18"/>
              </w:rPr>
              <w:t>Executive Sponsors</w:t>
            </w:r>
          </w:p>
        </w:tc>
        <w:tc>
          <w:tcPr>
            <w:tcW w:type="dxa" w:w="1560"/>
            <w:shd w:val="clear" w:color="auto" w:fill="F5F5F5"/>
          </w:tcPr>
          <w:p>
            <w:r>
              <w:rPr>
                <w:rFonts w:ascii="Garamond" w:hAnsi="Garamond"/>
                <w:b w:val="0"/>
                <w:i w:val="0"/>
                <w:color w:val="1A1A1A"/>
                <w:sz w:val="18"/>
              </w:rPr>
              <w:t>High</w:t>
            </w:r>
          </w:p>
        </w:tc>
        <w:tc>
          <w:tcPr>
            <w:tcW w:type="dxa" w:w="1560"/>
            <w:shd w:val="clear" w:color="auto" w:fill="F5F5F5"/>
          </w:tcPr>
          <w:p>
            <w:r>
              <w:rPr>
                <w:rFonts w:ascii="Garamond" w:hAnsi="Garamond"/>
                <w:b w:val="0"/>
                <w:i w:val="0"/>
                <w:color w:val="1A1A1A"/>
                <w:sz w:val="18"/>
              </w:rPr>
              <w:t>Must be High</w:t>
            </w:r>
          </w:p>
        </w:tc>
        <w:tc>
          <w:tcPr>
            <w:tcW w:type="dxa" w:w="1560"/>
            <w:shd w:val="clear" w:color="auto" w:fill="F5F5F5"/>
          </w:tcPr>
          <w:p>
            <w:r>
              <w:rPr>
                <w:rFonts w:ascii="Garamond" w:hAnsi="Garamond"/>
                <w:b w:val="0"/>
                <w:i w:val="0"/>
                <w:color w:val="1A1A1A"/>
                <w:sz w:val="18"/>
              </w:rPr>
              <w:t>Low</w:t>
            </w:r>
          </w:p>
        </w:tc>
        <w:tc>
          <w:tcPr>
            <w:tcW w:type="dxa" w:w="1560"/>
            <w:shd w:val="clear" w:color="auto" w:fill="F5F5F5"/>
          </w:tcPr>
          <w:p>
            <w:r>
              <w:rPr>
                <w:rFonts w:ascii="Garamond" w:hAnsi="Garamond"/>
                <w:b w:val="0"/>
                <w:i w:val="0"/>
                <w:color w:val="1A1A1A"/>
                <w:sz w:val="18"/>
              </w:rPr>
              <w:t>Monthly briefings; direct input on key decisions</w:t>
            </w:r>
          </w:p>
        </w:tc>
        <w:tc>
          <w:tcPr>
            <w:tcW w:type="dxa" w:w="1560"/>
            <w:shd w:val="clear" w:color="auto" w:fill="F5F5F5"/>
          </w:tcPr>
          <w:p>
            <w:r>
              <w:rPr>
                <w:rFonts w:ascii="Garamond" w:hAnsi="Garamond"/>
                <w:b w:val="0"/>
                <w:i w:val="0"/>
                <w:color w:val="1A1A1A"/>
                <w:sz w:val="18"/>
              </w:rPr>
              <w:t>COO</w:t>
            </w:r>
          </w:p>
        </w:tc>
      </w:tr>
      <w:tr>
        <w:tc>
          <w:tcPr>
            <w:tcW w:type="dxa" w:w="1560"/>
            <w:shd w:val="clear" w:color="auto" w:fill="FFFFFF"/>
          </w:tcPr>
          <w:p>
            <w:r>
              <w:rPr>
                <w:rFonts w:ascii="Garamond" w:hAnsi="Garamond"/>
                <w:b w:val="0"/>
                <w:i w:val="0"/>
                <w:color w:val="1A1A1A"/>
                <w:sz w:val="18"/>
              </w:rPr>
              <w:t>Department VPs (affected)</w:t>
            </w:r>
          </w:p>
        </w:tc>
        <w:tc>
          <w:tcPr>
            <w:tcW w:type="dxa" w:w="1560"/>
            <w:shd w:val="clear" w:color="auto" w:fill="FFFFFF"/>
          </w:tcPr>
          <w:p>
            <w:r>
              <w:rPr>
                <w:rFonts w:ascii="Garamond" w:hAnsi="Garamond"/>
                <w:b w:val="0"/>
                <w:i w:val="0"/>
                <w:color w:val="1A1A1A"/>
                <w:sz w:val="18"/>
              </w:rPr>
              <w:t>High</w:t>
            </w:r>
          </w:p>
        </w:tc>
        <w:tc>
          <w:tcPr>
            <w:tcW w:type="dxa" w:w="1560"/>
            <w:shd w:val="clear" w:color="auto" w:fill="FFFFFF"/>
          </w:tcPr>
          <w:p>
            <w:r>
              <w:rPr>
                <w:rFonts w:ascii="Garamond" w:hAnsi="Garamond"/>
                <w:b w:val="0"/>
                <w:i w:val="0"/>
                <w:color w:val="1A1A1A"/>
                <w:sz w:val="18"/>
              </w:rPr>
              <w:t>Varies</w:t>
            </w:r>
          </w:p>
        </w:tc>
        <w:tc>
          <w:tcPr>
            <w:tcW w:type="dxa" w:w="1560"/>
            <w:shd w:val="clear" w:color="auto" w:fill="FFFFFF"/>
          </w:tcPr>
          <w:p>
            <w:r>
              <w:rPr>
                <w:rFonts w:ascii="Garamond" w:hAnsi="Garamond"/>
                <w:b w:val="0"/>
                <w:i w:val="0"/>
                <w:color w:val="1A1A1A"/>
                <w:sz w:val="18"/>
              </w:rPr>
              <w:t>High</w:t>
            </w:r>
          </w:p>
        </w:tc>
        <w:tc>
          <w:tcPr>
            <w:tcW w:type="dxa" w:w="1560"/>
            <w:shd w:val="clear" w:color="auto" w:fill="FFFFFF"/>
          </w:tcPr>
          <w:p>
            <w:r>
              <w:rPr>
                <w:rFonts w:ascii="Garamond" w:hAnsi="Garamond"/>
                <w:b w:val="0"/>
                <w:i w:val="0"/>
                <w:color w:val="1A1A1A"/>
                <w:sz w:val="18"/>
              </w:rPr>
              <w:t>Bi-weekly working sessions; named as change champions</w:t>
            </w:r>
          </w:p>
        </w:tc>
        <w:tc>
          <w:tcPr>
            <w:tcW w:type="dxa" w:w="1560"/>
            <w:shd w:val="clear" w:color="auto" w:fill="FFFFFF"/>
          </w:tcPr>
          <w:p>
            <w:r>
              <w:rPr>
                <w:rFonts w:ascii="Garamond" w:hAnsi="Garamond"/>
                <w:b w:val="0"/>
                <w:i w:val="0"/>
                <w:color w:val="1A1A1A"/>
                <w:sz w:val="18"/>
              </w:rPr>
              <w:t>COO</w:t>
            </w:r>
          </w:p>
        </w:tc>
      </w:tr>
      <w:tr>
        <w:tc>
          <w:tcPr>
            <w:tcW w:type="dxa" w:w="1560"/>
            <w:shd w:val="clear" w:color="auto" w:fill="F5F5F5"/>
          </w:tcPr>
          <w:p>
            <w:r>
              <w:rPr>
                <w:rFonts w:ascii="Garamond" w:hAnsi="Garamond"/>
                <w:b w:val="0"/>
                <w:i w:val="0"/>
                <w:color w:val="1A1A1A"/>
                <w:sz w:val="18"/>
              </w:rPr>
              <w:t>Frontline Supervisors</w:t>
            </w:r>
          </w:p>
        </w:tc>
        <w:tc>
          <w:tcPr>
            <w:tcW w:type="dxa" w:w="1560"/>
            <w:shd w:val="clear" w:color="auto" w:fill="F5F5F5"/>
          </w:tcPr>
          <w:p>
            <w:r>
              <w:rPr>
                <w:rFonts w:ascii="Garamond" w:hAnsi="Garamond"/>
                <w:b w:val="0"/>
                <w:i w:val="0"/>
                <w:color w:val="1A1A1A"/>
                <w:sz w:val="18"/>
              </w:rPr>
              <w:t>Medium</w:t>
            </w:r>
          </w:p>
        </w:tc>
        <w:tc>
          <w:tcPr>
            <w:tcW w:type="dxa" w:w="1560"/>
            <w:shd w:val="clear" w:color="auto" w:fill="F5F5F5"/>
          </w:tcPr>
          <w:p>
            <w:r>
              <w:rPr>
                <w:rFonts w:ascii="Garamond" w:hAnsi="Garamond"/>
                <w:b w:val="0"/>
                <w:i w:val="0"/>
                <w:color w:val="1A1A1A"/>
                <w:sz w:val="18"/>
              </w:rPr>
              <w:t>Varies</w:t>
            </w:r>
          </w:p>
        </w:tc>
        <w:tc>
          <w:tcPr>
            <w:tcW w:type="dxa" w:w="1560"/>
            <w:shd w:val="clear" w:color="auto" w:fill="F5F5F5"/>
          </w:tcPr>
          <w:p>
            <w:r>
              <w:rPr>
                <w:rFonts w:ascii="Garamond" w:hAnsi="Garamond"/>
                <w:b w:val="0"/>
                <w:i w:val="0"/>
                <w:color w:val="1A1A1A"/>
                <w:sz w:val="18"/>
              </w:rPr>
              <w:t>High</w:t>
            </w:r>
          </w:p>
        </w:tc>
        <w:tc>
          <w:tcPr>
            <w:tcW w:type="dxa" w:w="1560"/>
            <w:shd w:val="clear" w:color="auto" w:fill="F5F5F5"/>
          </w:tcPr>
          <w:p>
            <w:r>
              <w:rPr>
                <w:rFonts w:ascii="Garamond" w:hAnsi="Garamond"/>
                <w:b w:val="0"/>
                <w:i w:val="0"/>
                <w:color w:val="1A1A1A"/>
                <w:sz w:val="18"/>
              </w:rPr>
              <w:t>Weekly team huddles; early involvement in design</w:t>
            </w:r>
          </w:p>
        </w:tc>
        <w:tc>
          <w:tcPr>
            <w:tcW w:type="dxa" w:w="1560"/>
            <w:shd w:val="clear" w:color="auto" w:fill="F5F5F5"/>
          </w:tcPr>
          <w:p>
            <w:r>
              <w:rPr>
                <w:rFonts w:ascii="Garamond" w:hAnsi="Garamond"/>
                <w:b w:val="0"/>
                <w:i w:val="0"/>
                <w:color w:val="1A1A1A"/>
                <w:sz w:val="18"/>
              </w:rPr>
              <w:t>Dept VP</w:t>
            </w:r>
          </w:p>
        </w:tc>
      </w:tr>
      <w:tr>
        <w:tc>
          <w:tcPr>
            <w:tcW w:type="dxa" w:w="1560"/>
            <w:shd w:val="clear" w:color="auto" w:fill="FFFFFF"/>
          </w:tcPr>
          <w:p>
            <w:r>
              <w:rPr>
                <w:rFonts w:ascii="Garamond" w:hAnsi="Garamond"/>
                <w:b w:val="0"/>
                <w:i w:val="0"/>
                <w:color w:val="1A1A1A"/>
                <w:sz w:val="18"/>
              </w:rPr>
              <w:t>Frontline Team Members</w:t>
            </w:r>
          </w:p>
        </w:tc>
        <w:tc>
          <w:tcPr>
            <w:tcW w:type="dxa" w:w="1560"/>
            <w:shd w:val="clear" w:color="auto" w:fill="FFFFFF"/>
          </w:tcPr>
          <w:p>
            <w:r>
              <w:rPr>
                <w:rFonts w:ascii="Garamond" w:hAnsi="Garamond"/>
                <w:b w:val="0"/>
                <w:i w:val="0"/>
                <w:color w:val="1A1A1A"/>
                <w:sz w:val="18"/>
              </w:rPr>
              <w:t>Low-Medium</w:t>
            </w:r>
          </w:p>
        </w:tc>
        <w:tc>
          <w:tcPr>
            <w:tcW w:type="dxa" w:w="1560"/>
            <w:shd w:val="clear" w:color="auto" w:fill="FFFFFF"/>
          </w:tcPr>
          <w:p>
            <w:r>
              <w:rPr>
                <w:rFonts w:ascii="Garamond" w:hAnsi="Garamond"/>
                <w:b w:val="0"/>
                <w:i w:val="0"/>
                <w:color w:val="1A1A1A"/>
                <w:sz w:val="18"/>
              </w:rPr>
              <w:t>Varies</w:t>
            </w:r>
          </w:p>
        </w:tc>
        <w:tc>
          <w:tcPr>
            <w:tcW w:type="dxa" w:w="1560"/>
            <w:shd w:val="clear" w:color="auto" w:fill="FFFFFF"/>
          </w:tcPr>
          <w:p>
            <w:r>
              <w:rPr>
                <w:rFonts w:ascii="Garamond" w:hAnsi="Garamond"/>
                <w:b w:val="0"/>
                <w:i w:val="0"/>
                <w:color w:val="1A1A1A"/>
                <w:sz w:val="18"/>
              </w:rPr>
              <w:t>High</w:t>
            </w:r>
          </w:p>
        </w:tc>
        <w:tc>
          <w:tcPr>
            <w:tcW w:type="dxa" w:w="1560"/>
            <w:shd w:val="clear" w:color="auto" w:fill="FFFFFF"/>
          </w:tcPr>
          <w:p>
            <w:r>
              <w:rPr>
                <w:rFonts w:ascii="Garamond" w:hAnsi="Garamond"/>
                <w:b w:val="0"/>
                <w:i w:val="0"/>
                <w:color w:val="1A1A1A"/>
                <w:sz w:val="18"/>
              </w:rPr>
              <w:t>Town halls; feedback channels; training</w:t>
            </w:r>
          </w:p>
        </w:tc>
        <w:tc>
          <w:tcPr>
            <w:tcW w:type="dxa" w:w="1560"/>
            <w:shd w:val="clear" w:color="auto" w:fill="FFFFFF"/>
          </w:tcPr>
          <w:p>
            <w:r>
              <w:rPr>
                <w:rFonts w:ascii="Garamond" w:hAnsi="Garamond"/>
                <w:b w:val="0"/>
                <w:i w:val="0"/>
                <w:color w:val="1A1A1A"/>
                <w:sz w:val="18"/>
              </w:rPr>
              <w:t>Dept VP + HR</w:t>
            </w:r>
          </w:p>
        </w:tc>
      </w:tr>
      <w:tr>
        <w:tc>
          <w:tcPr>
            <w:tcW w:type="dxa" w:w="1560"/>
            <w:shd w:val="clear" w:color="auto" w:fill="F5F5F5"/>
          </w:tcPr>
          <w:p>
            <w:r>
              <w:rPr>
                <w:rFonts w:ascii="Garamond" w:hAnsi="Garamond"/>
                <w:b w:val="0"/>
                <w:i w:val="0"/>
                <w:color w:val="1A1A1A"/>
                <w:sz w:val="18"/>
              </w:rPr>
              <w:t>Union Representatives (if applicable)</w:t>
            </w:r>
          </w:p>
        </w:tc>
        <w:tc>
          <w:tcPr>
            <w:tcW w:type="dxa" w:w="1560"/>
            <w:shd w:val="clear" w:color="auto" w:fill="F5F5F5"/>
          </w:tcPr>
          <w:p>
            <w:r>
              <w:rPr>
                <w:rFonts w:ascii="Garamond" w:hAnsi="Garamond"/>
                <w:b w:val="0"/>
                <w:i w:val="0"/>
                <w:color w:val="1A1A1A"/>
                <w:sz w:val="18"/>
              </w:rPr>
              <w:t>High</w:t>
            </w:r>
          </w:p>
        </w:tc>
        <w:tc>
          <w:tcPr>
            <w:tcW w:type="dxa" w:w="1560"/>
            <w:shd w:val="clear" w:color="auto" w:fill="F5F5F5"/>
          </w:tcPr>
          <w:p>
            <w:r>
              <w:rPr>
                <w:rFonts w:ascii="Garamond" w:hAnsi="Garamond"/>
                <w:b w:val="0"/>
                <w:i w:val="0"/>
                <w:color w:val="1A1A1A"/>
                <w:sz w:val="18"/>
              </w:rPr>
              <w:t>Must engage early</w:t>
            </w:r>
          </w:p>
        </w:tc>
        <w:tc>
          <w:tcPr>
            <w:tcW w:type="dxa" w:w="1560"/>
            <w:shd w:val="clear" w:color="auto" w:fill="F5F5F5"/>
          </w:tcPr>
          <w:p>
            <w:r>
              <w:rPr>
                <w:rFonts w:ascii="Garamond" w:hAnsi="Garamond"/>
                <w:b w:val="0"/>
                <w:i w:val="0"/>
                <w:color w:val="1A1A1A"/>
                <w:sz w:val="18"/>
              </w:rPr>
              <w:t>High</w:t>
            </w:r>
          </w:p>
        </w:tc>
        <w:tc>
          <w:tcPr>
            <w:tcW w:type="dxa" w:w="1560"/>
            <w:shd w:val="clear" w:color="auto" w:fill="F5F5F5"/>
          </w:tcPr>
          <w:p>
            <w:r>
              <w:rPr>
                <w:rFonts w:ascii="Garamond" w:hAnsi="Garamond"/>
                <w:b w:val="0"/>
                <w:i w:val="0"/>
                <w:color w:val="1A1A1A"/>
                <w:sz w:val="18"/>
              </w:rPr>
              <w:t>Joint planning sessions; transparent communication</w:t>
            </w:r>
          </w:p>
        </w:tc>
        <w:tc>
          <w:tcPr>
            <w:tcW w:type="dxa" w:w="1560"/>
            <w:shd w:val="clear" w:color="auto" w:fill="F5F5F5"/>
          </w:tcPr>
          <w:p>
            <w:r>
              <w:rPr>
                <w:rFonts w:ascii="Garamond" w:hAnsi="Garamond"/>
                <w:b w:val="0"/>
                <w:i w:val="0"/>
                <w:color w:val="1A1A1A"/>
                <w:sz w:val="18"/>
              </w:rPr>
              <w:t>VP HR</w:t>
            </w:r>
          </w:p>
        </w:tc>
      </w:tr>
      <w:tr>
        <w:tc>
          <w:tcPr>
            <w:tcW w:type="dxa" w:w="1560"/>
            <w:shd w:val="clear" w:color="auto" w:fill="FFFFFF"/>
          </w:tcPr>
          <w:p>
            <w:r>
              <w:rPr>
                <w:rFonts w:ascii="Garamond" w:hAnsi="Garamond"/>
                <w:b w:val="0"/>
                <w:i w:val="0"/>
                <w:color w:val="1A1A1A"/>
                <w:sz w:val="18"/>
              </w:rPr>
              <w:t>IT Department</w:t>
            </w:r>
          </w:p>
        </w:tc>
        <w:tc>
          <w:tcPr>
            <w:tcW w:type="dxa" w:w="1560"/>
            <w:shd w:val="clear" w:color="auto" w:fill="FFFFFF"/>
          </w:tcPr>
          <w:p>
            <w:r>
              <w:rPr>
                <w:rFonts w:ascii="Garamond" w:hAnsi="Garamond"/>
                <w:b w:val="0"/>
                <w:i w:val="0"/>
                <w:color w:val="1A1A1A"/>
                <w:sz w:val="18"/>
              </w:rPr>
              <w:t>Medium</w:t>
            </w:r>
          </w:p>
        </w:tc>
        <w:tc>
          <w:tcPr>
            <w:tcW w:type="dxa" w:w="1560"/>
            <w:shd w:val="clear" w:color="auto" w:fill="FFFFFF"/>
          </w:tcPr>
          <w:p>
            <w:r>
              <w:rPr>
                <w:rFonts w:ascii="Garamond" w:hAnsi="Garamond"/>
                <w:b w:val="0"/>
                <w:i w:val="0"/>
                <w:color w:val="1A1A1A"/>
                <w:sz w:val="18"/>
              </w:rPr>
              <w:t>High</w:t>
            </w:r>
          </w:p>
        </w:tc>
        <w:tc>
          <w:tcPr>
            <w:tcW w:type="dxa" w:w="1560"/>
            <w:shd w:val="clear" w:color="auto" w:fill="FFFFFF"/>
          </w:tcPr>
          <w:p>
            <w:r>
              <w:rPr>
                <w:rFonts w:ascii="Garamond" w:hAnsi="Garamond"/>
                <w:b w:val="0"/>
                <w:i w:val="0"/>
                <w:color w:val="1A1A1A"/>
                <w:sz w:val="18"/>
              </w:rPr>
              <w:t>Medium</w:t>
            </w:r>
          </w:p>
        </w:tc>
        <w:tc>
          <w:tcPr>
            <w:tcW w:type="dxa" w:w="1560"/>
            <w:shd w:val="clear" w:color="auto" w:fill="FFFFFF"/>
          </w:tcPr>
          <w:p>
            <w:r>
              <w:rPr>
                <w:rFonts w:ascii="Garamond" w:hAnsi="Garamond"/>
                <w:b w:val="0"/>
                <w:i w:val="0"/>
                <w:color w:val="1A1A1A"/>
                <w:sz w:val="18"/>
              </w:rPr>
              <w:t>Technical working group membership</w:t>
            </w:r>
          </w:p>
        </w:tc>
        <w:tc>
          <w:tcPr>
            <w:tcW w:type="dxa" w:w="1560"/>
            <w:shd w:val="clear" w:color="auto" w:fill="FFFFFF"/>
          </w:tcPr>
          <w:p>
            <w:r>
              <w:rPr>
                <w:rFonts w:ascii="Garamond" w:hAnsi="Garamond"/>
                <w:b w:val="0"/>
                <w:i w:val="0"/>
                <w:color w:val="1A1A1A"/>
                <w:sz w:val="18"/>
              </w:rPr>
              <w:t>CTO</w:t>
            </w:r>
          </w:p>
        </w:tc>
      </w:tr>
    </w:tbl>
    <w:p>
      <w:pPr>
        <w:spacing w:before="0" w:after="120"/>
      </w:pPr>
    </w:p>
    <w:p>
      <w:pPr>
        <w:spacing w:before="160" w:after="80"/>
      </w:pPr>
      <w:r>
        <w:rPr>
          <w:rFonts w:ascii="Garamond" w:hAnsi="Garamond"/>
          <w:b/>
          <w:i w:val="0"/>
          <w:color w:val="1A1A2E"/>
          <w:sz w:val="24"/>
        </w:rPr>
        <w:t>Phase 3: Communication Planning</w:t>
      </w:r>
    </w:p>
    <w:p>
      <w:pPr>
        <w:spacing w:before="40" w:after="40"/>
        <w:pBdr>
          <w:bottom w:val="single" w:sz="8" w:space="1" w:color="6B6B6B"/>
        </w:pBdr>
      </w:pPr>
    </w:p>
    <w:p>
      <w:pPr>
        <w:pStyle w:val="ListBullet"/>
        <w:spacing w:before="20" w:after="40"/>
        <w:ind w:left="360"/>
      </w:pPr>
      <w:r>
        <w:rPr>
          <w:rFonts w:ascii="Garamond" w:hAnsi="Garamond"/>
          <w:b w:val="0"/>
          <w:i w:val="0"/>
          <w:color w:val="1A1A1A"/>
          <w:sz w:val="20"/>
        </w:rPr>
        <w:t>Lead with why, not what: All change communications must start with the business rationale and personal impact, not the mechanics of the change</w:t>
      </w:r>
    </w:p>
    <w:p>
      <w:pPr>
        <w:pStyle w:val="ListBullet"/>
        <w:spacing w:before="20" w:after="40"/>
        <w:ind w:left="360"/>
      </w:pPr>
      <w:r>
        <w:rPr>
          <w:rFonts w:ascii="Garamond" w:hAnsi="Garamond"/>
          <w:b w:val="0"/>
          <w:i w:val="0"/>
          <w:color w:val="1A1A1A"/>
          <w:sz w:val="20"/>
        </w:rPr>
        <w:t>Cascade model: COO to VPs to Supervisors to Frontline; each level must receive communications 48 hours before the next level</w:t>
      </w:r>
    </w:p>
    <w:p>
      <w:pPr>
        <w:pStyle w:val="ListBullet"/>
        <w:spacing w:before="20" w:after="40"/>
        <w:ind w:left="360"/>
      </w:pPr>
      <w:r>
        <w:rPr>
          <w:rFonts w:ascii="Garamond" w:hAnsi="Garamond"/>
          <w:b w:val="0"/>
          <w:i w:val="0"/>
          <w:color w:val="1A1A1A"/>
          <w:sz w:val="20"/>
        </w:rPr>
        <w:t>Channel mix: Town hall (launch), team huddle (weekly), digital dashboard (ongoing status), FAQ document (always available)</w:t>
      </w:r>
    </w:p>
    <w:p>
      <w:pPr>
        <w:pStyle w:val="ListBullet"/>
        <w:spacing w:before="20" w:after="40"/>
        <w:ind w:left="360"/>
      </w:pPr>
      <w:r>
        <w:rPr>
          <w:rFonts w:ascii="Garamond" w:hAnsi="Garamond"/>
          <w:b w:val="0"/>
          <w:i w:val="0"/>
          <w:color w:val="1A1A1A"/>
          <w:sz w:val="20"/>
        </w:rPr>
        <w:t>Two-way communication: Every communication should include a feedback channel; all feedback must be responded to within 5 business days</w:t>
      </w:r>
    </w:p>
    <w:p>
      <w:pPr>
        <w:spacing w:before="160" w:after="80"/>
      </w:pPr>
      <w:r>
        <w:rPr>
          <w:rFonts w:ascii="Garamond" w:hAnsi="Garamond"/>
          <w:b/>
          <w:i w:val="0"/>
          <w:color w:val="1A1A2E"/>
          <w:sz w:val="24"/>
        </w:rPr>
        <w:t>Phase 4: Training Framework</w:t>
      </w:r>
    </w:p>
    <w:p>
      <w:pPr>
        <w:spacing w:before="40" w:after="40"/>
        <w:pBdr>
          <w:bottom w:val="single" w:sz="8" w:space="1" w:color="6B6B6B"/>
        </w:pBdr>
      </w:pPr>
    </w:p>
    <w:p>
      <w:pPr>
        <w:spacing w:before="20" w:after="80"/>
      </w:pPr>
      <w:r>
        <w:rPr>
          <w:rFonts w:ascii="Garamond" w:hAnsi="Garamond"/>
          <w:b w:val="0"/>
          <w:i w:val="0"/>
          <w:color w:val="1A1A1A"/>
          <w:sz w:val="20"/>
        </w:rPr>
        <w:t>All change initiatives impacting frontline roles require a structured training program completed before go-live. Training must be role-specific, not generic. Minimum completion threshold is 90% of affected staff trained before launch. No change initiative may go live without VP sign-off confirming training completion rates. Post-training assessment required within 14 days of completion; pass mark of 75%.</w:t>
      </w:r>
    </w:p>
    <w:p>
      <w:pPr>
        <w:spacing w:before="160" w:after="80"/>
      </w:pPr>
      <w:r>
        <w:rPr>
          <w:rFonts w:ascii="Garamond" w:hAnsi="Garamond"/>
          <w:b/>
          <w:i w:val="0"/>
          <w:color w:val="1A1A2E"/>
          <w:sz w:val="24"/>
        </w:rPr>
        <w:t>Phase 5: Resistance Management</w:t>
      </w:r>
    </w:p>
    <w:p>
      <w:pPr>
        <w:spacing w:before="40" w:after="40"/>
        <w:pBdr>
          <w:bottom w:val="single" w:sz="8" w:space="1" w:color="6B6B6B"/>
        </w:pBdr>
      </w:pPr>
    </w:p>
    <w:p>
      <w:pPr>
        <w:pStyle w:val="ListBullet"/>
        <w:spacing w:before="20" w:after="40"/>
        <w:ind w:left="360"/>
      </w:pPr>
      <w:r>
        <w:rPr>
          <w:rFonts w:ascii="Garamond" w:hAnsi="Garamond"/>
          <w:b w:val="0"/>
          <w:i w:val="0"/>
          <w:color w:val="1A1A1A"/>
          <w:sz w:val="20"/>
        </w:rPr>
        <w:t>Identify resistance hotspots during readiness assessment; do not wait for resistance to emerge organically</w:t>
      </w:r>
    </w:p>
    <w:p>
      <w:pPr>
        <w:pStyle w:val="ListBullet"/>
        <w:spacing w:before="20" w:after="40"/>
        <w:ind w:left="360"/>
      </w:pPr>
      <w:r>
        <w:rPr>
          <w:rFonts w:ascii="Garamond" w:hAnsi="Garamond"/>
          <w:b w:val="0"/>
          <w:i w:val="0"/>
          <w:color w:val="1A1A1A"/>
          <w:sz w:val="20"/>
        </w:rPr>
        <w:t>Categorize resistance: rational (person has a valid objection that should change the design), emotional (person needs support and acknowledgment), political (person is protecting their interests)</w:t>
      </w:r>
    </w:p>
    <w:p>
      <w:pPr>
        <w:pStyle w:val="ListBullet"/>
        <w:spacing w:before="20" w:after="40"/>
        <w:ind w:left="360"/>
      </w:pPr>
      <w:r>
        <w:rPr>
          <w:rFonts w:ascii="Garamond" w:hAnsi="Garamond"/>
          <w:b w:val="0"/>
          <w:i w:val="0"/>
          <w:color w:val="1A1A1A"/>
          <w:sz w:val="20"/>
        </w:rPr>
        <w:t>Rational resistance: modify the change design if valid</w:t>
      </w:r>
    </w:p>
    <w:p>
      <w:pPr>
        <w:pStyle w:val="ListBullet"/>
        <w:spacing w:before="20" w:after="40"/>
        <w:ind w:left="360"/>
      </w:pPr>
      <w:r>
        <w:rPr>
          <w:rFonts w:ascii="Garamond" w:hAnsi="Garamond"/>
          <w:b w:val="0"/>
          <w:i w:val="0"/>
          <w:color w:val="1A1A1A"/>
          <w:sz w:val="20"/>
        </w:rPr>
        <w:t>Emotional resistance: provide additional support, coaching, and visible executive engagement</w:t>
      </w:r>
    </w:p>
    <w:p>
      <w:pPr>
        <w:pStyle w:val="ListBullet"/>
        <w:spacing w:before="20" w:after="40"/>
        <w:ind w:left="360"/>
      </w:pPr>
      <w:r>
        <w:rPr>
          <w:rFonts w:ascii="Garamond" w:hAnsi="Garamond"/>
          <w:b w:val="0"/>
          <w:i w:val="0"/>
          <w:color w:val="1A1A1A"/>
          <w:sz w:val="20"/>
        </w:rPr>
        <w:t>Political resistance: escalate to COO for direct intervention if VP-level resistance is obstructing implementation</w:t>
      </w:r>
    </w:p>
    <w:p>
      <w:pPr>
        <w:spacing w:before="160" w:after="80"/>
      </w:pPr>
      <w:r>
        <w:rPr>
          <w:rFonts w:ascii="Garamond" w:hAnsi="Garamond"/>
          <w:b/>
          <w:i w:val="0"/>
          <w:color w:val="1A1A2E"/>
          <w:sz w:val="24"/>
        </w:rPr>
        <w:t>Phase 6: Reinforcement &amp; Sustainment</w:t>
      </w:r>
    </w:p>
    <w:p>
      <w:pPr>
        <w:spacing w:before="40" w:after="40"/>
        <w:pBdr>
          <w:bottom w:val="single" w:sz="8" w:space="1" w:color="6B6B6B"/>
        </w:pBdr>
      </w:pPr>
    </w:p>
    <w:p>
      <w:pPr>
        <w:pStyle w:val="ListBullet"/>
        <w:spacing w:before="20" w:after="40"/>
        <w:ind w:left="360"/>
      </w:pPr>
      <w:r>
        <w:rPr>
          <w:rFonts w:ascii="Garamond" w:hAnsi="Garamond"/>
          <w:b w:val="0"/>
          <w:i w:val="0"/>
          <w:color w:val="1A1A1A"/>
          <w:sz w:val="20"/>
        </w:rPr>
        <w:t>Define sustainment KPIs before launch: what does 90-day, 180-day, and 12-month success look like?</w:t>
      </w:r>
    </w:p>
    <w:p>
      <w:pPr>
        <w:pStyle w:val="ListBullet"/>
        <w:spacing w:before="20" w:after="40"/>
        <w:ind w:left="360"/>
      </w:pPr>
      <w:r>
        <w:rPr>
          <w:rFonts w:ascii="Garamond" w:hAnsi="Garamond"/>
          <w:b w:val="0"/>
          <w:i w:val="0"/>
          <w:color w:val="1A1A1A"/>
          <w:sz w:val="20"/>
        </w:rPr>
        <w:t>Conduct 30-day adoption check: if adoption is below 70%, immediate course correction is required</w:t>
      </w:r>
    </w:p>
    <w:p>
      <w:pPr>
        <w:pStyle w:val="ListBullet"/>
        <w:spacing w:before="20" w:after="40"/>
        <w:ind w:left="360"/>
      </w:pPr>
      <w:r>
        <w:rPr>
          <w:rFonts w:ascii="Garamond" w:hAnsi="Garamond"/>
          <w:b w:val="0"/>
          <w:i w:val="0"/>
          <w:color w:val="1A1A1A"/>
          <w:sz w:val="20"/>
        </w:rPr>
        <w:t>Celebrate early wins: identify 3-5 quick wins within first 30 days and communicate them broadly</w:t>
      </w:r>
    </w:p>
    <w:p>
      <w:pPr>
        <w:pStyle w:val="ListBullet"/>
        <w:spacing w:before="20" w:after="40"/>
        <w:ind w:left="360"/>
      </w:pPr>
      <w:r>
        <w:rPr>
          <w:rFonts w:ascii="Garamond" w:hAnsi="Garamond"/>
          <w:b w:val="0"/>
          <w:i w:val="0"/>
          <w:color w:val="1A1A1A"/>
          <w:sz w:val="20"/>
        </w:rPr>
        <w:t>Integrate change into standard operating procedures and performance management within 90 days to prevent regression</w:t>
      </w:r>
    </w:p>
    <w:sectPr w:rsidR="00FC693F" w:rsidRPr="0006063C" w:rsidSect="00034616">
      <w:footerReference w:type="default" r:id="rId10"/>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b w:val="0"/>
        <w:i/>
        <w:color w:val="6B6B6B"/>
        <w:sz w:val="15"/>
      </w:rPr>
      <w:t>Wynn Resorts, Limited  |  Strictly Confidential  |  03-change-management-playbook.docx  |  Do not distribute without authorization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