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9360"/>
            <w:shd w:val="clear" w:color="auto" w:fill="B89655"/>
          </w:tcPr>
          <w:p>
            <w:r/>
          </w:p>
        </w:tc>
      </w:tr>
    </w:tbl>
    <w:p>
      <w:pPr>
        <w:spacing w:before="0" w:after="6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7920"/>
      </w:tblGrid>
      <w:tr>
        <w:tc>
          <w:tcPr>
            <w:tcW w:type="dxa" w:w="4680"/>
            <w:vAlign w:val="center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554480" cy="698776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4480" cy="69877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680"/>
            <w:vAlign w:val="center"/>
          </w:tcPr>
          <w:p/>
          <w:p>
            <w:pPr>
              <w:spacing w:before="0" w:after="20"/>
              <w:jc w:val="right"/>
            </w:pPr>
            <w:r>
              <w:rPr>
                <w:rFonts w:ascii="Garamond" w:hAnsi="Garamond"/>
                <w:b/>
                <w:i w:val="0"/>
                <w:color w:val="B89655"/>
                <w:sz w:val="18"/>
              </w:rPr>
              <w:t>WYNN RESORTS</w:t>
            </w:r>
          </w:p>
          <w:p>
            <w:pPr>
              <w:spacing w:before="0" w:after="40"/>
              <w:jc w:val="right"/>
            </w:pPr>
            <w:r>
              <w:rPr>
                <w:rFonts w:ascii="Garamond" w:hAnsi="Garamond"/>
                <w:b w:val="0"/>
                <w:i/>
                <w:color w:val="6B6B6B"/>
                <w:sz w:val="16"/>
              </w:rPr>
              <w:t>Office of the CTO | Enterprise Architecture</w:t>
            </w:r>
          </w:p>
          <w:p>
            <w:pPr>
              <w:spacing w:before="0" w:after="0"/>
              <w:jc w:val="right"/>
            </w:pPr>
            <w:r>
              <w:rPr>
                <w:rFonts w:ascii="Garamond" w:hAnsi="Garamond"/>
                <w:b/>
                <w:i w:val="0"/>
                <w:color w:val="C0392B"/>
                <w:sz w:val="15"/>
              </w:rPr>
              <w:t>STRICTLY CONFIDENTIAL</w:t>
            </w:r>
          </w:p>
        </w:tc>
      </w:tr>
    </w:tbl>
    <w:p>
      <w:pPr>
        <w:spacing w:before="40" w:after="40"/>
        <w:pBdr>
          <w:bottom w:val="single" w:sz="16" w:space="1" w:color="B89655"/>
        </w:pBdr>
      </w:pPr>
    </w:p>
    <w:p>
      <w:pPr>
        <w:spacing w:before="0" w:after="60"/>
      </w:pPr>
    </w:p>
    <w:p>
      <w:pPr>
        <w:spacing w:before="0" w:after="80"/>
      </w:pPr>
      <w:r>
        <w:rPr>
          <w:rFonts w:ascii="Garamond" w:hAnsi="Garamond"/>
          <w:b/>
          <w:i w:val="0"/>
          <w:color w:val="6B6B6B"/>
          <w:sz w:val="18"/>
        </w:rPr>
        <w:t>INTERNAL AUDIT REPORT</w:t>
        <w:br/>
      </w:r>
      <w:r>
        <w:rPr>
          <w:rFonts w:ascii="Garamond" w:hAnsi="Garamond"/>
          <w:b/>
          <w:i w:val="0"/>
          <w:color w:val="1A1A2E"/>
          <w:sz w:val="36"/>
        </w:rPr>
        <w:t>Enterprise Technology System Inventory &amp; Architecture Overview</w:t>
      </w:r>
    </w:p>
    <w:p>
      <w:pPr>
        <w:spacing w:before="40" w:after="40"/>
        <w:pBdr>
          <w:bottom w:val="single" w:sz="8" w:space="1" w:color="B89655"/>
        </w:pBdr>
      </w:pPr>
    </w:p>
    <w:p>
      <w:pPr>
        <w:spacing w:before="0" w:after="120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7920"/>
      </w:tblGrid>
      <w:tr>
        <w:tc>
          <w:tcPr>
            <w:tcW w:type="dxa" w:w="4680"/>
            <w:shd w:val="clear" w:color="auto" w:fill="1A1A2E"/>
          </w:tcPr>
          <w:p>
            <w:r>
              <w:rPr>
                <w:rFonts w:ascii="Garamond" w:hAnsi="Garamond"/>
                <w:b/>
                <w:i w:val="0"/>
                <w:color w:val="FFFFFF"/>
                <w:sz w:val="18"/>
              </w:rPr>
              <w:t>As Of</w:t>
            </w:r>
          </w:p>
        </w:tc>
        <w:tc>
          <w:tcPr>
            <w:tcW w:type="dxa" w:w="4680"/>
            <w:shd w:val="clear" w:color="auto" w:fill="1A1A2E"/>
          </w:tcPr>
          <w:p>
            <w:r>
              <w:rPr>
                <w:rFonts w:ascii="Garamond" w:hAnsi="Garamond"/>
                <w:b w:val="0"/>
                <w:i w:val="0"/>
                <w:color w:val="FFFFFF"/>
                <w:sz w:val="18"/>
              </w:rPr>
              <w:t>March 2025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r>
              <w:rPr>
                <w:rFonts w:ascii="Garamond" w:hAnsi="Garamond"/>
                <w:b/>
                <w:i w:val="0"/>
                <w:color w:val="1A1A2E"/>
                <w:sz w:val="18"/>
              </w:rPr>
              <w:t>Owner</w:t>
            </w:r>
          </w:p>
        </w:tc>
        <w:tc>
          <w:tcPr>
            <w:tcW w:type="dxa" w:w="468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Chief Enterprise Architect</w:t>
            </w:r>
          </w:p>
        </w:tc>
      </w:tr>
      <w:tr>
        <w:tc>
          <w:tcPr>
            <w:tcW w:type="dxa" w:w="4680"/>
            <w:shd w:val="clear" w:color="auto" w:fill="F5F5F5"/>
          </w:tcPr>
          <w:p>
            <w:r>
              <w:rPr>
                <w:rFonts w:ascii="Garamond" w:hAnsi="Garamond"/>
                <w:b/>
                <w:i w:val="0"/>
                <w:color w:val="1A1A2E"/>
                <w:sz w:val="18"/>
              </w:rPr>
              <w:t>Classification</w:t>
            </w:r>
          </w:p>
        </w:tc>
        <w:tc>
          <w:tcPr>
            <w:tcW w:type="dxa" w:w="468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Restricted -- Technology Leadership Only</w:t>
            </w:r>
          </w:p>
        </w:tc>
      </w:tr>
    </w:tbl>
    <w:p>
      <w:pPr>
        <w:spacing w:before="0" w:after="160"/>
      </w:pPr>
    </w:p>
    <w:p>
      <w:pPr>
        <w:spacing w:before="280" w:after="80"/>
      </w:pPr>
      <w:r>
        <w:rPr>
          <w:rFonts w:ascii="Garamond" w:hAnsi="Garamond"/>
          <w:b/>
          <w:i w:val="0"/>
          <w:color w:val="1A1A2E"/>
          <w:sz w:val="30"/>
        </w:rPr>
        <w:t>Enterprise System Inventory</w:t>
      </w:r>
    </w:p>
    <w:p>
      <w:pPr>
        <w:spacing w:before="40" w:after="40"/>
        <w:pBdr>
          <w:bottom w:val="single" w:sz="16" w:space="1" w:color="B89655"/>
        </w:pBdr>
      </w:pP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</w:tblGrid>
      <w:tr>
        <w:tc>
          <w:tcPr>
            <w:tcW w:type="dxa" w:w="1170"/>
            <w:shd w:val="clear" w:color="auto" w:fill="1A1A2E"/>
          </w:tcPr>
          <w:p>
            <w:pPr>
              <w:jc w:val="center"/>
            </w:pPr>
            <w:r>
              <w:rPr>
                <w:rFonts w:ascii="Garamond" w:hAnsi="Garamond"/>
                <w:b/>
                <w:i w:val="0"/>
                <w:color w:val="FFFFFF"/>
                <w:sz w:val="18"/>
              </w:rPr>
              <w:t>System Name</w:t>
            </w:r>
          </w:p>
        </w:tc>
        <w:tc>
          <w:tcPr>
            <w:tcW w:type="dxa" w:w="1170"/>
            <w:shd w:val="clear" w:color="auto" w:fill="1A1A2E"/>
          </w:tcPr>
          <w:p>
            <w:pPr>
              <w:jc w:val="center"/>
            </w:pPr>
            <w:r>
              <w:rPr>
                <w:rFonts w:ascii="Garamond" w:hAnsi="Garamond"/>
                <w:b/>
                <w:i w:val="0"/>
                <w:color w:val="FFFFFF"/>
                <w:sz w:val="18"/>
              </w:rPr>
              <w:t>Category</w:t>
            </w:r>
          </w:p>
        </w:tc>
        <w:tc>
          <w:tcPr>
            <w:tcW w:type="dxa" w:w="1170"/>
            <w:shd w:val="clear" w:color="auto" w:fill="1A1A2E"/>
          </w:tcPr>
          <w:p>
            <w:pPr>
              <w:jc w:val="center"/>
            </w:pPr>
            <w:r>
              <w:rPr>
                <w:rFonts w:ascii="Garamond" w:hAnsi="Garamond"/>
                <w:b/>
                <w:i w:val="0"/>
                <w:color w:val="FFFFFF"/>
                <w:sz w:val="18"/>
              </w:rPr>
              <w:t>Vendor/Platform</w:t>
            </w:r>
          </w:p>
        </w:tc>
        <w:tc>
          <w:tcPr>
            <w:tcW w:type="dxa" w:w="1170"/>
            <w:shd w:val="clear" w:color="auto" w:fill="1A1A2E"/>
          </w:tcPr>
          <w:p>
            <w:pPr>
              <w:jc w:val="center"/>
            </w:pPr>
            <w:r>
              <w:rPr>
                <w:rFonts w:ascii="Garamond" w:hAnsi="Garamond"/>
                <w:b/>
                <w:i w:val="0"/>
                <w:color w:val="FFFFFF"/>
                <w:sz w:val="18"/>
              </w:rPr>
              <w:t>Hosting Model</w:t>
            </w:r>
          </w:p>
        </w:tc>
        <w:tc>
          <w:tcPr>
            <w:tcW w:type="dxa" w:w="1170"/>
            <w:shd w:val="clear" w:color="auto" w:fill="1A1A2E"/>
          </w:tcPr>
          <w:p>
            <w:pPr>
              <w:jc w:val="center"/>
            </w:pPr>
            <w:r>
              <w:rPr>
                <w:rFonts w:ascii="Garamond" w:hAnsi="Garamond"/>
                <w:b/>
                <w:i w:val="0"/>
                <w:color w:val="FFFFFF"/>
                <w:sz w:val="18"/>
              </w:rPr>
              <w:t>Annual Cost</w:t>
            </w:r>
          </w:p>
        </w:tc>
        <w:tc>
          <w:tcPr>
            <w:tcW w:type="dxa" w:w="1170"/>
            <w:shd w:val="clear" w:color="auto" w:fill="1A1A2E"/>
          </w:tcPr>
          <w:p>
            <w:pPr>
              <w:jc w:val="center"/>
            </w:pPr>
            <w:r>
              <w:rPr>
                <w:rFonts w:ascii="Garamond" w:hAnsi="Garamond"/>
                <w:b/>
                <w:i w:val="0"/>
                <w:color w:val="FFFFFF"/>
                <w:sz w:val="18"/>
              </w:rPr>
              <w:t>End of Life</w:t>
            </w:r>
          </w:p>
        </w:tc>
        <w:tc>
          <w:tcPr>
            <w:tcW w:type="dxa" w:w="1170"/>
            <w:shd w:val="clear" w:color="auto" w:fill="1A1A2E"/>
          </w:tcPr>
          <w:p>
            <w:pPr>
              <w:jc w:val="center"/>
            </w:pPr>
            <w:r>
              <w:rPr>
                <w:rFonts w:ascii="Garamond" w:hAnsi="Garamond"/>
                <w:b/>
                <w:i w:val="0"/>
                <w:color w:val="FFFFFF"/>
                <w:sz w:val="18"/>
              </w:rPr>
              <w:t>Business Criticality</w:t>
            </w:r>
          </w:p>
        </w:tc>
        <w:tc>
          <w:tcPr>
            <w:tcW w:type="dxa" w:w="1170"/>
            <w:shd w:val="clear" w:color="auto" w:fill="1A1A2E"/>
          </w:tcPr>
          <w:p>
            <w:pPr>
              <w:jc w:val="center"/>
            </w:pPr>
            <w:r>
              <w:rPr>
                <w:rFonts w:ascii="Garamond" w:hAnsi="Garamond"/>
                <w:b/>
                <w:i w:val="0"/>
                <w:color w:val="FFFFFF"/>
                <w:sz w:val="18"/>
              </w:rPr>
              <w:t>Integration Count</w:t>
            </w:r>
          </w:p>
        </w:tc>
      </w:tr>
      <w:tr>
        <w:tc>
          <w:tcPr>
            <w:tcW w:type="dxa" w:w="117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Opera PMS</w:t>
            </w:r>
          </w:p>
        </w:tc>
        <w:tc>
          <w:tcPr>
            <w:tcW w:type="dxa" w:w="117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Property Management</w:t>
            </w:r>
          </w:p>
        </w:tc>
        <w:tc>
          <w:tcPr>
            <w:tcW w:type="dxa" w:w="117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Oracle Hospitality</w:t>
            </w:r>
          </w:p>
        </w:tc>
        <w:tc>
          <w:tcPr>
            <w:tcW w:type="dxa" w:w="117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On-premise</w:t>
            </w:r>
          </w:p>
        </w:tc>
        <w:tc>
          <w:tcPr>
            <w:tcW w:type="dxa" w:w="117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$1.2M</w:t>
            </w:r>
          </w:p>
        </w:tc>
        <w:tc>
          <w:tcPr>
            <w:tcW w:type="dxa" w:w="117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2027</w:t>
            </w:r>
          </w:p>
        </w:tc>
        <w:tc>
          <w:tcPr>
            <w:tcW w:type="dxa" w:w="117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Critical</w:t>
            </w:r>
          </w:p>
        </w:tc>
        <w:tc>
          <w:tcPr>
            <w:tcW w:type="dxa" w:w="117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18</w:t>
            </w:r>
          </w:p>
        </w:tc>
      </w:tr>
      <w:tr>
        <w:tc>
          <w:tcPr>
            <w:tcW w:type="dxa" w:w="117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IGT Advantage</w:t>
            </w:r>
          </w:p>
        </w:tc>
        <w:tc>
          <w:tcPr>
            <w:tcW w:type="dxa" w:w="117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Slot Management</w:t>
            </w:r>
          </w:p>
        </w:tc>
        <w:tc>
          <w:tcPr>
            <w:tcW w:type="dxa" w:w="117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IGT</w:t>
            </w:r>
          </w:p>
        </w:tc>
        <w:tc>
          <w:tcPr>
            <w:tcW w:type="dxa" w:w="117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On-premise</w:t>
            </w:r>
          </w:p>
        </w:tc>
        <w:tc>
          <w:tcPr>
            <w:tcW w:type="dxa" w:w="117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$840K</w:t>
            </w:r>
          </w:p>
        </w:tc>
        <w:tc>
          <w:tcPr>
            <w:tcW w:type="dxa" w:w="117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2026</w:t>
            </w:r>
          </w:p>
        </w:tc>
        <w:tc>
          <w:tcPr>
            <w:tcW w:type="dxa" w:w="117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Critical</w:t>
            </w:r>
          </w:p>
        </w:tc>
        <w:tc>
          <w:tcPr>
            <w:tcW w:type="dxa" w:w="117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6</w:t>
            </w:r>
          </w:p>
        </w:tc>
      </w:tr>
      <w:tr>
        <w:tc>
          <w:tcPr>
            <w:tcW w:type="dxa" w:w="117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Salesforce CRM</w:t>
            </w:r>
          </w:p>
        </w:tc>
        <w:tc>
          <w:tcPr>
            <w:tcW w:type="dxa" w:w="117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CRM / Marketing</w:t>
            </w:r>
          </w:p>
        </w:tc>
        <w:tc>
          <w:tcPr>
            <w:tcW w:type="dxa" w:w="117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Salesforce</w:t>
            </w:r>
          </w:p>
        </w:tc>
        <w:tc>
          <w:tcPr>
            <w:tcW w:type="dxa" w:w="117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SaaS</w:t>
            </w:r>
          </w:p>
        </w:tc>
        <w:tc>
          <w:tcPr>
            <w:tcW w:type="dxa" w:w="117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$1.4M</w:t>
            </w:r>
          </w:p>
        </w:tc>
        <w:tc>
          <w:tcPr>
            <w:tcW w:type="dxa" w:w="117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N/A (SaaS)</w:t>
            </w:r>
          </w:p>
        </w:tc>
        <w:tc>
          <w:tcPr>
            <w:tcW w:type="dxa" w:w="117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High</w:t>
            </w:r>
          </w:p>
        </w:tc>
        <w:tc>
          <w:tcPr>
            <w:tcW w:type="dxa" w:w="117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14</w:t>
            </w:r>
          </w:p>
        </w:tc>
      </w:tr>
      <w:tr>
        <w:tc>
          <w:tcPr>
            <w:tcW w:type="dxa" w:w="117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ServiceNow</w:t>
            </w:r>
          </w:p>
        </w:tc>
        <w:tc>
          <w:tcPr>
            <w:tcW w:type="dxa" w:w="117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ITSM / Operations</w:t>
            </w:r>
          </w:p>
        </w:tc>
        <w:tc>
          <w:tcPr>
            <w:tcW w:type="dxa" w:w="117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ServiceNow</w:t>
            </w:r>
          </w:p>
        </w:tc>
        <w:tc>
          <w:tcPr>
            <w:tcW w:type="dxa" w:w="117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SaaS</w:t>
            </w:r>
          </w:p>
        </w:tc>
        <w:tc>
          <w:tcPr>
            <w:tcW w:type="dxa" w:w="117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$680K</w:t>
            </w:r>
          </w:p>
        </w:tc>
        <w:tc>
          <w:tcPr>
            <w:tcW w:type="dxa" w:w="117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N/A (SaaS)</w:t>
            </w:r>
          </w:p>
        </w:tc>
        <w:tc>
          <w:tcPr>
            <w:tcW w:type="dxa" w:w="117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High</w:t>
            </w:r>
          </w:p>
        </w:tc>
        <w:tc>
          <w:tcPr>
            <w:tcW w:type="dxa" w:w="117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9</w:t>
            </w:r>
          </w:p>
        </w:tc>
      </w:tr>
      <w:tr>
        <w:tc>
          <w:tcPr>
            <w:tcW w:type="dxa" w:w="117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Oracle ERP</w:t>
            </w:r>
          </w:p>
        </w:tc>
        <w:tc>
          <w:tcPr>
            <w:tcW w:type="dxa" w:w="117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Finance / HR</w:t>
            </w:r>
          </w:p>
        </w:tc>
        <w:tc>
          <w:tcPr>
            <w:tcW w:type="dxa" w:w="117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Oracle Cloud</w:t>
            </w:r>
          </w:p>
        </w:tc>
        <w:tc>
          <w:tcPr>
            <w:tcW w:type="dxa" w:w="117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Hybrid</w:t>
            </w:r>
          </w:p>
        </w:tc>
        <w:tc>
          <w:tcPr>
            <w:tcW w:type="dxa" w:w="117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$2.1M</w:t>
            </w:r>
          </w:p>
        </w:tc>
        <w:tc>
          <w:tcPr>
            <w:tcW w:type="dxa" w:w="117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N/A (Cloud)</w:t>
            </w:r>
          </w:p>
        </w:tc>
        <w:tc>
          <w:tcPr>
            <w:tcW w:type="dxa" w:w="117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Critical</w:t>
            </w:r>
          </w:p>
        </w:tc>
        <w:tc>
          <w:tcPr>
            <w:tcW w:type="dxa" w:w="117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22</w:t>
            </w:r>
          </w:p>
        </w:tc>
      </w:tr>
      <w:tr>
        <w:tc>
          <w:tcPr>
            <w:tcW w:type="dxa" w:w="117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Workday HCM</w:t>
            </w:r>
          </w:p>
        </w:tc>
        <w:tc>
          <w:tcPr>
            <w:tcW w:type="dxa" w:w="117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HR / Payroll</w:t>
            </w:r>
          </w:p>
        </w:tc>
        <w:tc>
          <w:tcPr>
            <w:tcW w:type="dxa" w:w="117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Workday</w:t>
            </w:r>
          </w:p>
        </w:tc>
        <w:tc>
          <w:tcPr>
            <w:tcW w:type="dxa" w:w="117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SaaS</w:t>
            </w:r>
          </w:p>
        </w:tc>
        <w:tc>
          <w:tcPr>
            <w:tcW w:type="dxa" w:w="117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$920K</w:t>
            </w:r>
          </w:p>
        </w:tc>
        <w:tc>
          <w:tcPr>
            <w:tcW w:type="dxa" w:w="117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N/A (SaaS)</w:t>
            </w:r>
          </w:p>
        </w:tc>
        <w:tc>
          <w:tcPr>
            <w:tcW w:type="dxa" w:w="117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High</w:t>
            </w:r>
          </w:p>
        </w:tc>
        <w:tc>
          <w:tcPr>
            <w:tcW w:type="dxa" w:w="117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8</w:t>
            </w:r>
          </w:p>
        </w:tc>
      </w:tr>
      <w:tr>
        <w:tc>
          <w:tcPr>
            <w:tcW w:type="dxa" w:w="117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Agilysys InfoGenesis POS</w:t>
            </w:r>
          </w:p>
        </w:tc>
        <w:tc>
          <w:tcPr>
            <w:tcW w:type="dxa" w:w="117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Point of Sale (F&amp;B)</w:t>
            </w:r>
          </w:p>
        </w:tc>
        <w:tc>
          <w:tcPr>
            <w:tcW w:type="dxa" w:w="117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Agilysys</w:t>
            </w:r>
          </w:p>
        </w:tc>
        <w:tc>
          <w:tcPr>
            <w:tcW w:type="dxa" w:w="117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On-premise</w:t>
            </w:r>
          </w:p>
        </w:tc>
        <w:tc>
          <w:tcPr>
            <w:tcW w:type="dxa" w:w="117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$480K</w:t>
            </w:r>
          </w:p>
        </w:tc>
        <w:tc>
          <w:tcPr>
            <w:tcW w:type="dxa" w:w="117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2025</w:t>
            </w:r>
          </w:p>
        </w:tc>
        <w:tc>
          <w:tcPr>
            <w:tcW w:type="dxa" w:w="117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Critical</w:t>
            </w:r>
          </w:p>
        </w:tc>
        <w:tc>
          <w:tcPr>
            <w:tcW w:type="dxa" w:w="117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12</w:t>
            </w:r>
          </w:p>
        </w:tc>
      </w:tr>
      <w:tr>
        <w:tc>
          <w:tcPr>
            <w:tcW w:type="dxa" w:w="117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Microsoft Azure</w:t>
            </w:r>
          </w:p>
        </w:tc>
        <w:tc>
          <w:tcPr>
            <w:tcW w:type="dxa" w:w="117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Cloud Infrastructure</w:t>
            </w:r>
          </w:p>
        </w:tc>
        <w:tc>
          <w:tcPr>
            <w:tcW w:type="dxa" w:w="117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Microsoft</w:t>
            </w:r>
          </w:p>
        </w:tc>
        <w:tc>
          <w:tcPr>
            <w:tcW w:type="dxa" w:w="117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IaaS/PaaS</w:t>
            </w:r>
          </w:p>
        </w:tc>
        <w:tc>
          <w:tcPr>
            <w:tcW w:type="dxa" w:w="117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$1.8M</w:t>
            </w:r>
          </w:p>
        </w:tc>
        <w:tc>
          <w:tcPr>
            <w:tcW w:type="dxa" w:w="117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N/A</w:t>
            </w:r>
          </w:p>
        </w:tc>
        <w:tc>
          <w:tcPr>
            <w:tcW w:type="dxa" w:w="117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High</w:t>
            </w:r>
          </w:p>
        </w:tc>
        <w:tc>
          <w:tcPr>
            <w:tcW w:type="dxa" w:w="117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31</w:t>
            </w:r>
          </w:p>
        </w:tc>
      </w:tr>
      <w:tr>
        <w:tc>
          <w:tcPr>
            <w:tcW w:type="dxa" w:w="117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Palo Alto Networks NGFW</w:t>
            </w:r>
          </w:p>
        </w:tc>
        <w:tc>
          <w:tcPr>
            <w:tcW w:type="dxa" w:w="117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Network Security</w:t>
            </w:r>
          </w:p>
        </w:tc>
        <w:tc>
          <w:tcPr>
            <w:tcW w:type="dxa" w:w="117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Palo Alto Networks</w:t>
            </w:r>
          </w:p>
        </w:tc>
        <w:tc>
          <w:tcPr>
            <w:tcW w:type="dxa" w:w="117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On-premise</w:t>
            </w:r>
          </w:p>
        </w:tc>
        <w:tc>
          <w:tcPr>
            <w:tcW w:type="dxa" w:w="117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$340K</w:t>
            </w:r>
          </w:p>
        </w:tc>
        <w:tc>
          <w:tcPr>
            <w:tcW w:type="dxa" w:w="117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2027</w:t>
            </w:r>
          </w:p>
        </w:tc>
        <w:tc>
          <w:tcPr>
            <w:tcW w:type="dxa" w:w="117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Critical</w:t>
            </w:r>
          </w:p>
        </w:tc>
        <w:tc>
          <w:tcPr>
            <w:tcW w:type="dxa" w:w="117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0</w:t>
            </w:r>
          </w:p>
        </w:tc>
      </w:tr>
      <w:tr>
        <w:tc>
          <w:tcPr>
            <w:tcW w:type="dxa" w:w="117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CrowdStrike Falcon</w:t>
            </w:r>
          </w:p>
        </w:tc>
        <w:tc>
          <w:tcPr>
            <w:tcW w:type="dxa" w:w="117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Endpoint Security</w:t>
            </w:r>
          </w:p>
        </w:tc>
        <w:tc>
          <w:tcPr>
            <w:tcW w:type="dxa" w:w="117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CrowdStrike</w:t>
            </w:r>
          </w:p>
        </w:tc>
        <w:tc>
          <w:tcPr>
            <w:tcW w:type="dxa" w:w="117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SaaS</w:t>
            </w:r>
          </w:p>
        </w:tc>
        <w:tc>
          <w:tcPr>
            <w:tcW w:type="dxa" w:w="117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$290K</w:t>
            </w:r>
          </w:p>
        </w:tc>
        <w:tc>
          <w:tcPr>
            <w:tcW w:type="dxa" w:w="117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N/A (SaaS)</w:t>
            </w:r>
          </w:p>
        </w:tc>
        <w:tc>
          <w:tcPr>
            <w:tcW w:type="dxa" w:w="117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Critical</w:t>
            </w:r>
          </w:p>
        </w:tc>
        <w:tc>
          <w:tcPr>
            <w:tcW w:type="dxa" w:w="117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3</w:t>
            </w:r>
          </w:p>
        </w:tc>
      </w:tr>
      <w:tr>
        <w:tc>
          <w:tcPr>
            <w:tcW w:type="dxa" w:w="117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Avaya Communication Platform</w:t>
            </w:r>
          </w:p>
        </w:tc>
        <w:tc>
          <w:tcPr>
            <w:tcW w:type="dxa" w:w="117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Telecom / Call Center</w:t>
            </w:r>
          </w:p>
        </w:tc>
        <w:tc>
          <w:tcPr>
            <w:tcW w:type="dxa" w:w="117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Avaya</w:t>
            </w:r>
          </w:p>
        </w:tc>
        <w:tc>
          <w:tcPr>
            <w:tcW w:type="dxa" w:w="117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On-premise</w:t>
            </w:r>
          </w:p>
        </w:tc>
        <w:tc>
          <w:tcPr>
            <w:tcW w:type="dxa" w:w="117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$410K</w:t>
            </w:r>
          </w:p>
        </w:tc>
        <w:tc>
          <w:tcPr>
            <w:tcW w:type="dxa" w:w="117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2025 (EOL)</w:t>
            </w:r>
          </w:p>
        </w:tc>
        <w:tc>
          <w:tcPr>
            <w:tcW w:type="dxa" w:w="117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High</w:t>
            </w:r>
          </w:p>
        </w:tc>
        <w:tc>
          <w:tcPr>
            <w:tcW w:type="dxa" w:w="117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7</w:t>
            </w:r>
          </w:p>
        </w:tc>
      </w:tr>
      <w:tr>
        <w:tc>
          <w:tcPr>
            <w:tcW w:type="dxa" w:w="117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Genetec Security Center</w:t>
            </w:r>
          </w:p>
        </w:tc>
        <w:tc>
          <w:tcPr>
            <w:tcW w:type="dxa" w:w="117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Video Surveillance</w:t>
            </w:r>
          </w:p>
        </w:tc>
        <w:tc>
          <w:tcPr>
            <w:tcW w:type="dxa" w:w="117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Genetec</w:t>
            </w:r>
          </w:p>
        </w:tc>
        <w:tc>
          <w:tcPr>
            <w:tcW w:type="dxa" w:w="117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On-premise</w:t>
            </w:r>
          </w:p>
        </w:tc>
        <w:tc>
          <w:tcPr>
            <w:tcW w:type="dxa" w:w="117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$520K</w:t>
            </w:r>
          </w:p>
        </w:tc>
        <w:tc>
          <w:tcPr>
            <w:tcW w:type="dxa" w:w="117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2028</w:t>
            </w:r>
          </w:p>
        </w:tc>
        <w:tc>
          <w:tcPr>
            <w:tcW w:type="dxa" w:w="117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Critical</w:t>
            </w:r>
          </w:p>
        </w:tc>
        <w:tc>
          <w:tcPr>
            <w:tcW w:type="dxa" w:w="117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2</w:t>
            </w:r>
          </w:p>
        </w:tc>
      </w:tr>
      <w:tr>
        <w:tc>
          <w:tcPr>
            <w:tcW w:type="dxa" w:w="117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Microsoft 365</w:t>
            </w:r>
          </w:p>
        </w:tc>
        <w:tc>
          <w:tcPr>
            <w:tcW w:type="dxa" w:w="117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Productivity / Email</w:t>
            </w:r>
          </w:p>
        </w:tc>
        <w:tc>
          <w:tcPr>
            <w:tcW w:type="dxa" w:w="117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Microsoft</w:t>
            </w:r>
          </w:p>
        </w:tc>
        <w:tc>
          <w:tcPr>
            <w:tcW w:type="dxa" w:w="117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SaaS</w:t>
            </w:r>
          </w:p>
        </w:tc>
        <w:tc>
          <w:tcPr>
            <w:tcW w:type="dxa" w:w="117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$610K</w:t>
            </w:r>
          </w:p>
        </w:tc>
        <w:tc>
          <w:tcPr>
            <w:tcW w:type="dxa" w:w="117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N/A (SaaS)</w:t>
            </w:r>
          </w:p>
        </w:tc>
        <w:tc>
          <w:tcPr>
            <w:tcW w:type="dxa" w:w="117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High</w:t>
            </w:r>
          </w:p>
        </w:tc>
        <w:tc>
          <w:tcPr>
            <w:tcW w:type="dxa" w:w="117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15</w:t>
            </w:r>
          </w:p>
        </w:tc>
      </w:tr>
      <w:tr>
        <w:tc>
          <w:tcPr>
            <w:tcW w:type="dxa" w:w="117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Tableau</w:t>
            </w:r>
          </w:p>
        </w:tc>
        <w:tc>
          <w:tcPr>
            <w:tcW w:type="dxa" w:w="117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Business Intelligence</w:t>
            </w:r>
          </w:p>
        </w:tc>
        <w:tc>
          <w:tcPr>
            <w:tcW w:type="dxa" w:w="117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Tableau (Salesforce)</w:t>
            </w:r>
          </w:p>
        </w:tc>
        <w:tc>
          <w:tcPr>
            <w:tcW w:type="dxa" w:w="117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SaaS</w:t>
            </w:r>
          </w:p>
        </w:tc>
        <w:tc>
          <w:tcPr>
            <w:tcW w:type="dxa" w:w="117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$280K</w:t>
            </w:r>
          </w:p>
        </w:tc>
        <w:tc>
          <w:tcPr>
            <w:tcW w:type="dxa" w:w="117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N/A (SaaS)</w:t>
            </w:r>
          </w:p>
        </w:tc>
        <w:tc>
          <w:tcPr>
            <w:tcW w:type="dxa" w:w="117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Medium</w:t>
            </w:r>
          </w:p>
        </w:tc>
        <w:tc>
          <w:tcPr>
            <w:tcW w:type="dxa" w:w="117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6</w:t>
            </w:r>
          </w:p>
        </w:tc>
      </w:tr>
      <w:tr>
        <w:tc>
          <w:tcPr>
            <w:tcW w:type="dxa" w:w="117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Anaplan</w:t>
            </w:r>
          </w:p>
        </w:tc>
        <w:tc>
          <w:tcPr>
            <w:tcW w:type="dxa" w:w="117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Financial Planning</w:t>
            </w:r>
          </w:p>
        </w:tc>
        <w:tc>
          <w:tcPr>
            <w:tcW w:type="dxa" w:w="117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Anaplan</w:t>
            </w:r>
          </w:p>
        </w:tc>
        <w:tc>
          <w:tcPr>
            <w:tcW w:type="dxa" w:w="117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SaaS</w:t>
            </w:r>
          </w:p>
        </w:tc>
        <w:tc>
          <w:tcPr>
            <w:tcW w:type="dxa" w:w="117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$380K</w:t>
            </w:r>
          </w:p>
        </w:tc>
        <w:tc>
          <w:tcPr>
            <w:tcW w:type="dxa" w:w="117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N/A (SaaS)</w:t>
            </w:r>
          </w:p>
        </w:tc>
        <w:tc>
          <w:tcPr>
            <w:tcW w:type="dxa" w:w="117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High</w:t>
            </w:r>
          </w:p>
        </w:tc>
        <w:tc>
          <w:tcPr>
            <w:tcW w:type="dxa" w:w="117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4</w:t>
            </w:r>
          </w:p>
        </w:tc>
      </w:tr>
      <w:tr>
        <w:tc>
          <w:tcPr>
            <w:tcW w:type="dxa" w:w="117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Coupa</w:t>
            </w:r>
          </w:p>
        </w:tc>
        <w:tc>
          <w:tcPr>
            <w:tcW w:type="dxa" w:w="117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Procurement</w:t>
            </w:r>
          </w:p>
        </w:tc>
        <w:tc>
          <w:tcPr>
            <w:tcW w:type="dxa" w:w="117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Coupa</w:t>
            </w:r>
          </w:p>
        </w:tc>
        <w:tc>
          <w:tcPr>
            <w:tcW w:type="dxa" w:w="117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SaaS</w:t>
            </w:r>
          </w:p>
        </w:tc>
        <w:tc>
          <w:tcPr>
            <w:tcW w:type="dxa" w:w="117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$190K</w:t>
            </w:r>
          </w:p>
        </w:tc>
        <w:tc>
          <w:tcPr>
            <w:tcW w:type="dxa" w:w="117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N/A (SaaS)</w:t>
            </w:r>
          </w:p>
        </w:tc>
        <w:tc>
          <w:tcPr>
            <w:tcW w:type="dxa" w:w="117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Medium</w:t>
            </w:r>
          </w:p>
        </w:tc>
        <w:tc>
          <w:tcPr>
            <w:tcW w:type="dxa" w:w="117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5</w:t>
            </w:r>
          </w:p>
        </w:tc>
      </w:tr>
      <w:tr>
        <w:tc>
          <w:tcPr>
            <w:tcW w:type="dxa" w:w="117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ContractPodAi</w:t>
            </w:r>
          </w:p>
        </w:tc>
        <w:tc>
          <w:tcPr>
            <w:tcW w:type="dxa" w:w="117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Contract Management</w:t>
            </w:r>
          </w:p>
        </w:tc>
        <w:tc>
          <w:tcPr>
            <w:tcW w:type="dxa" w:w="117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ContractPodAi</w:t>
            </w:r>
          </w:p>
        </w:tc>
        <w:tc>
          <w:tcPr>
            <w:tcW w:type="dxa" w:w="117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SaaS</w:t>
            </w:r>
          </w:p>
        </w:tc>
        <w:tc>
          <w:tcPr>
            <w:tcW w:type="dxa" w:w="117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$120K</w:t>
            </w:r>
          </w:p>
        </w:tc>
        <w:tc>
          <w:tcPr>
            <w:tcW w:type="dxa" w:w="117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N/A (SaaS)</w:t>
            </w:r>
          </w:p>
        </w:tc>
        <w:tc>
          <w:tcPr>
            <w:tcW w:type="dxa" w:w="117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Medium</w:t>
            </w:r>
          </w:p>
        </w:tc>
        <w:tc>
          <w:tcPr>
            <w:tcW w:type="dxa" w:w="117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3</w:t>
            </w:r>
          </w:p>
        </w:tc>
      </w:tr>
      <w:tr>
        <w:tc>
          <w:tcPr>
            <w:tcW w:type="dxa" w:w="117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Wynn Loyalty Platform (custom)</w:t>
            </w:r>
          </w:p>
        </w:tc>
        <w:tc>
          <w:tcPr>
            <w:tcW w:type="dxa" w:w="117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Loyalty / Rewards</w:t>
            </w:r>
          </w:p>
        </w:tc>
        <w:tc>
          <w:tcPr>
            <w:tcW w:type="dxa" w:w="117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Internal (custom build)</w:t>
            </w:r>
          </w:p>
        </w:tc>
        <w:tc>
          <w:tcPr>
            <w:tcW w:type="dxa" w:w="117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On-premise</w:t>
            </w:r>
          </w:p>
        </w:tc>
        <w:tc>
          <w:tcPr>
            <w:tcW w:type="dxa" w:w="117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$640K (maintenance)</w:t>
            </w:r>
          </w:p>
        </w:tc>
        <w:tc>
          <w:tcPr>
            <w:tcW w:type="dxa" w:w="117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2026 (end of support)</w:t>
            </w:r>
          </w:p>
        </w:tc>
        <w:tc>
          <w:tcPr>
            <w:tcW w:type="dxa" w:w="117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Critical</w:t>
            </w:r>
          </w:p>
        </w:tc>
        <w:tc>
          <w:tcPr>
            <w:tcW w:type="dxa" w:w="117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11</w:t>
            </w:r>
          </w:p>
        </w:tc>
      </w:tr>
      <w:tr>
        <w:tc>
          <w:tcPr>
            <w:tcW w:type="dxa" w:w="117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Azure AD / Entra ID</w:t>
            </w:r>
          </w:p>
        </w:tc>
        <w:tc>
          <w:tcPr>
            <w:tcW w:type="dxa" w:w="117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Identity Management</w:t>
            </w:r>
          </w:p>
        </w:tc>
        <w:tc>
          <w:tcPr>
            <w:tcW w:type="dxa" w:w="117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Microsoft</w:t>
            </w:r>
          </w:p>
        </w:tc>
        <w:tc>
          <w:tcPr>
            <w:tcW w:type="dxa" w:w="117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SaaS</w:t>
            </w:r>
          </w:p>
        </w:tc>
        <w:tc>
          <w:tcPr>
            <w:tcW w:type="dxa" w:w="117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$220K</w:t>
            </w:r>
          </w:p>
        </w:tc>
        <w:tc>
          <w:tcPr>
            <w:tcW w:type="dxa" w:w="117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N/A (SaaS)</w:t>
            </w:r>
          </w:p>
        </w:tc>
        <w:tc>
          <w:tcPr>
            <w:tcW w:type="dxa" w:w="117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Critical</w:t>
            </w:r>
          </w:p>
        </w:tc>
        <w:tc>
          <w:tcPr>
            <w:tcW w:type="dxa" w:w="117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28</w:t>
            </w:r>
          </w:p>
        </w:tc>
      </w:tr>
      <w:tr>
        <w:tc>
          <w:tcPr>
            <w:tcW w:type="dxa" w:w="117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Cisco Meraki</w:t>
            </w:r>
          </w:p>
        </w:tc>
        <w:tc>
          <w:tcPr>
            <w:tcW w:type="dxa" w:w="117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Network Infrastructure</w:t>
            </w:r>
          </w:p>
        </w:tc>
        <w:tc>
          <w:tcPr>
            <w:tcW w:type="dxa" w:w="117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Cisco</w:t>
            </w:r>
          </w:p>
        </w:tc>
        <w:tc>
          <w:tcPr>
            <w:tcW w:type="dxa" w:w="117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On-premise + Cloud Mgmt</w:t>
            </w:r>
          </w:p>
        </w:tc>
        <w:tc>
          <w:tcPr>
            <w:tcW w:type="dxa" w:w="117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$580K</w:t>
            </w:r>
          </w:p>
        </w:tc>
        <w:tc>
          <w:tcPr>
            <w:tcW w:type="dxa" w:w="117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2028</w:t>
            </w:r>
          </w:p>
        </w:tc>
        <w:tc>
          <w:tcPr>
            <w:tcW w:type="dxa" w:w="117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Critical</w:t>
            </w:r>
          </w:p>
        </w:tc>
        <w:tc>
          <w:tcPr>
            <w:tcW w:type="dxa" w:w="117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0</w:t>
            </w:r>
          </w:p>
        </w:tc>
      </w:tr>
    </w:tbl>
    <w:p>
      <w:pPr>
        <w:spacing w:before="0" w:after="120"/>
      </w:pPr>
    </w:p>
    <w:sectPr w:rsidR="00FC693F" w:rsidRPr="0006063C" w:rsidSect="00034616">
      <w:footerReference w:type="default" r:id="rId10"/>
      <w:pgSz w:w="12240" w:h="15840"/>
      <w:pgMar w:top="1224" w:right="1440" w:bottom="1224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Garamond" w:hAnsi="Garamond"/>
        <w:b w:val="0"/>
        <w:i/>
        <w:color w:val="6B6B6B"/>
        <w:sz w:val="15"/>
      </w:rPr>
      <w:t>Wynn Resorts, Limited  |  Strictly Confidential  |  01-enterprise-system-inventory-architecture.docx  |  Do not distribute without authorization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