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9360"/>
            <w:shd w:val="clear" w:color="auto" w:fill="B89655"/>
          </w:tcPr>
          <w:p>
            <w:r/>
          </w:p>
        </w:tc>
      </w:tr>
    </w:tbl>
    <w:p>
      <w:pPr>
        <w:spacing w:before="0" w:after="6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7920"/>
      </w:tblGrid>
      <w:tr>
        <w:tc>
          <w:tcPr>
            <w:tcW w:type="dxa" w:w="4680"/>
            <w:vAlign w:val="center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554480" cy="698776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4480" cy="69877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680"/>
            <w:vAlign w:val="center"/>
          </w:tcPr>
          <w:p/>
          <w:p>
            <w:pPr>
              <w:spacing w:before="0" w:after="20"/>
              <w:jc w:val="right"/>
            </w:pPr>
            <w:r>
              <w:rPr>
                <w:rFonts w:ascii="Garamond" w:hAnsi="Garamond"/>
                <w:b/>
                <w:i w:val="0"/>
                <w:color w:val="B89655"/>
                <w:sz w:val="18"/>
              </w:rPr>
              <w:t>WYNN RESORTS</w:t>
            </w:r>
          </w:p>
          <w:p>
            <w:pPr>
              <w:spacing w:before="0" w:after="40"/>
              <w:jc w:val="right"/>
            </w:pPr>
            <w:r>
              <w:rPr>
                <w:rFonts w:ascii="Garamond" w:hAnsi="Garamond"/>
                <w:b w:val="0"/>
                <w:i/>
                <w:color w:val="6B6B6B"/>
                <w:sz w:val="16"/>
              </w:rPr>
              <w:t>Office of the CTO | Engineering</w:t>
            </w:r>
          </w:p>
          <w:p>
            <w:pPr>
              <w:spacing w:before="0" w:after="0"/>
              <w:jc w:val="right"/>
            </w:pPr>
            <w:r>
              <w:rPr>
                <w:rFonts w:ascii="Garamond" w:hAnsi="Garamond"/>
                <w:b/>
                <w:i w:val="0"/>
                <w:color w:val="C0392B"/>
                <w:sz w:val="15"/>
              </w:rPr>
              <w:t>STRICTLY CONFIDENTIAL</w:t>
            </w:r>
          </w:p>
        </w:tc>
      </w:tr>
    </w:tbl>
    <w:p>
      <w:pPr>
        <w:spacing w:before="40" w:after="40"/>
        <w:pBdr>
          <w:bottom w:val="single" w:sz="16" w:space="1" w:color="B89655"/>
        </w:pBdr>
      </w:pPr>
    </w:p>
    <w:p>
      <w:pPr>
        <w:spacing w:before="0" w:after="60"/>
      </w:pPr>
    </w:p>
    <w:p>
      <w:pPr>
        <w:spacing w:before="0" w:after="80"/>
      </w:pPr>
      <w:r>
        <w:rPr>
          <w:rFonts w:ascii="Garamond" w:hAnsi="Garamond"/>
          <w:b/>
          <w:i w:val="0"/>
          <w:color w:val="6B6B6B"/>
          <w:sz w:val="18"/>
        </w:rPr>
        <w:t>INTERNAL AUDIT REPORT</w:t>
        <w:br/>
      </w:r>
      <w:r>
        <w:rPr>
          <w:rFonts w:ascii="Garamond" w:hAnsi="Garamond"/>
          <w:b/>
          <w:i w:val="0"/>
          <w:color w:val="1A1A2E"/>
          <w:sz w:val="36"/>
        </w:rPr>
        <w:t>Technical Debt Backlog Assessment -- Q1 2025</w:t>
      </w:r>
    </w:p>
    <w:p>
      <w:pPr>
        <w:spacing w:before="40" w:after="40"/>
        <w:pBdr>
          <w:bottom w:val="single" w:sz="8" w:space="1" w:color="B89655"/>
        </w:pBdr>
      </w:pPr>
    </w:p>
    <w:p>
      <w:pPr>
        <w:spacing w:before="0" w:after="12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7920"/>
      </w:tblGrid>
      <w:tr>
        <w:tc>
          <w:tcPr>
            <w:tcW w:type="dxa" w:w="4680"/>
            <w:shd w:val="clear" w:color="auto" w:fill="1A1A2E"/>
          </w:tcPr>
          <w:p>
            <w:r>
              <w:rPr>
                <w:rFonts w:ascii="Garamond" w:hAnsi="Garamond"/>
                <w:b/>
                <w:i w:val="0"/>
                <w:color w:val="FFFFFF"/>
                <w:sz w:val="18"/>
              </w:rPr>
              <w:t>Assessment Date</w:t>
            </w:r>
          </w:p>
        </w:tc>
        <w:tc>
          <w:tcPr>
            <w:tcW w:type="dxa" w:w="4680"/>
            <w:shd w:val="clear" w:color="auto" w:fill="1A1A2E"/>
          </w:tcPr>
          <w:p>
            <w:r>
              <w:rPr>
                <w:rFonts w:ascii="Garamond" w:hAnsi="Garamond"/>
                <w:b w:val="0"/>
                <w:i w:val="0"/>
                <w:color w:val="FFFFFF"/>
                <w:sz w:val="18"/>
              </w:rPr>
              <w:t>January 2025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rFonts w:ascii="Garamond" w:hAnsi="Garamond"/>
                <w:b/>
                <w:i w:val="0"/>
                <w:color w:val="1A1A2E"/>
                <w:sz w:val="18"/>
              </w:rPr>
              <w:t>Owner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VP Engineering</w:t>
            </w:r>
          </w:p>
        </w:tc>
      </w:tr>
      <w:tr>
        <w:tc>
          <w:tcPr>
            <w:tcW w:type="dxa" w:w="4680"/>
            <w:shd w:val="clear" w:color="auto" w:fill="F5F5F5"/>
          </w:tcPr>
          <w:p>
            <w:r>
              <w:rPr>
                <w:rFonts w:ascii="Garamond" w:hAnsi="Garamond"/>
                <w:b/>
                <w:i w:val="0"/>
                <w:color w:val="1A1A2E"/>
                <w:sz w:val="18"/>
              </w:rPr>
              <w:t>Total Estimated Remediation Cost</w:t>
            </w:r>
          </w:p>
        </w:tc>
        <w:tc>
          <w:tcPr>
            <w:tcW w:type="dxa" w:w="468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$8.4M</w:t>
            </w:r>
          </w:p>
        </w:tc>
      </w:tr>
    </w:tbl>
    <w:p>
      <w:pPr>
        <w:spacing w:before="0" w:after="160"/>
      </w:pPr>
    </w:p>
    <w:p>
      <w:pPr>
        <w:spacing w:before="280" w:after="80"/>
      </w:pPr>
      <w:r>
        <w:rPr>
          <w:rFonts w:ascii="Garamond" w:hAnsi="Garamond"/>
          <w:b/>
          <w:i w:val="0"/>
          <w:color w:val="1A1A2E"/>
          <w:sz w:val="30"/>
        </w:rPr>
        <w:t>Technical Debt Backlog</w:t>
      </w:r>
    </w:p>
    <w:p>
      <w:pPr>
        <w:spacing w:before="40" w:after="40"/>
        <w:pBdr>
          <w:bottom w:val="single" w:sz="16" w:space="1" w:color="B89655"/>
        </w:pBdr>
      </w:pP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040"/>
        <w:gridCol w:w="1040"/>
        <w:gridCol w:w="1040"/>
        <w:gridCol w:w="1040"/>
        <w:gridCol w:w="1040"/>
        <w:gridCol w:w="1040"/>
        <w:gridCol w:w="1040"/>
        <w:gridCol w:w="1040"/>
        <w:gridCol w:w="1040"/>
      </w:tblGrid>
      <w:tr>
        <w:tc>
          <w:tcPr>
            <w:tcW w:type="dxa" w:w="1040"/>
            <w:shd w:val="clear" w:color="auto" w:fill="1A1A2E"/>
          </w:tcPr>
          <w:p>
            <w:pPr>
              <w:jc w:val="center"/>
            </w:pPr>
            <w:r>
              <w:rPr>
                <w:rFonts w:ascii="Garamond" w:hAnsi="Garamond"/>
                <w:b/>
                <w:i w:val="0"/>
                <w:color w:val="FFFFFF"/>
                <w:sz w:val="18"/>
              </w:rPr>
              <w:t>Item ID</w:t>
            </w:r>
          </w:p>
        </w:tc>
        <w:tc>
          <w:tcPr>
            <w:tcW w:type="dxa" w:w="1040"/>
            <w:shd w:val="clear" w:color="auto" w:fill="1A1A2E"/>
          </w:tcPr>
          <w:p>
            <w:pPr>
              <w:jc w:val="center"/>
            </w:pPr>
            <w:r>
              <w:rPr>
                <w:rFonts w:ascii="Garamond" w:hAnsi="Garamond"/>
                <w:b/>
                <w:i w:val="0"/>
                <w:color w:val="FFFFFF"/>
                <w:sz w:val="18"/>
              </w:rPr>
              <w:t>System</w:t>
            </w:r>
          </w:p>
        </w:tc>
        <w:tc>
          <w:tcPr>
            <w:tcW w:type="dxa" w:w="1040"/>
            <w:shd w:val="clear" w:color="auto" w:fill="1A1A2E"/>
          </w:tcPr>
          <w:p>
            <w:pPr>
              <w:jc w:val="center"/>
            </w:pPr>
            <w:r>
              <w:rPr>
                <w:rFonts w:ascii="Garamond" w:hAnsi="Garamond"/>
                <w:b/>
                <w:i w:val="0"/>
                <w:color w:val="FFFFFF"/>
                <w:sz w:val="18"/>
              </w:rPr>
              <w:t>Description</w:t>
            </w:r>
          </w:p>
        </w:tc>
        <w:tc>
          <w:tcPr>
            <w:tcW w:type="dxa" w:w="1040"/>
            <w:shd w:val="clear" w:color="auto" w:fill="1A1A2E"/>
          </w:tcPr>
          <w:p>
            <w:pPr>
              <w:jc w:val="center"/>
            </w:pPr>
            <w:r>
              <w:rPr>
                <w:rFonts w:ascii="Garamond" w:hAnsi="Garamond"/>
                <w:b/>
                <w:i w:val="0"/>
                <w:color w:val="FFFFFF"/>
                <w:sz w:val="18"/>
              </w:rPr>
              <w:t>Debt Type</w:t>
            </w:r>
          </w:p>
        </w:tc>
        <w:tc>
          <w:tcPr>
            <w:tcW w:type="dxa" w:w="1040"/>
            <w:shd w:val="clear" w:color="auto" w:fill="1A1A2E"/>
          </w:tcPr>
          <w:p>
            <w:pPr>
              <w:jc w:val="center"/>
            </w:pPr>
            <w:r>
              <w:rPr>
                <w:rFonts w:ascii="Garamond" w:hAnsi="Garamond"/>
                <w:b/>
                <w:i w:val="0"/>
                <w:color w:val="FFFFFF"/>
                <w:sz w:val="18"/>
              </w:rPr>
              <w:t>Severity</w:t>
            </w:r>
          </w:p>
        </w:tc>
        <w:tc>
          <w:tcPr>
            <w:tcW w:type="dxa" w:w="1040"/>
            <w:shd w:val="clear" w:color="auto" w:fill="1A1A2E"/>
          </w:tcPr>
          <w:p>
            <w:pPr>
              <w:jc w:val="center"/>
            </w:pPr>
            <w:r>
              <w:rPr>
                <w:rFonts w:ascii="Garamond" w:hAnsi="Garamond"/>
                <w:b/>
                <w:i w:val="0"/>
                <w:color w:val="FFFFFF"/>
                <w:sz w:val="18"/>
              </w:rPr>
              <w:t>Business Impact</w:t>
            </w:r>
          </w:p>
        </w:tc>
        <w:tc>
          <w:tcPr>
            <w:tcW w:type="dxa" w:w="1040"/>
            <w:shd w:val="clear" w:color="auto" w:fill="1A1A2E"/>
          </w:tcPr>
          <w:p>
            <w:pPr>
              <w:jc w:val="center"/>
            </w:pPr>
            <w:r>
              <w:rPr>
                <w:rFonts w:ascii="Garamond" w:hAnsi="Garamond"/>
                <w:b/>
                <w:i w:val="0"/>
                <w:color w:val="FFFFFF"/>
                <w:sz w:val="18"/>
              </w:rPr>
              <w:t>Effort (weeks)</w:t>
            </w:r>
          </w:p>
        </w:tc>
        <w:tc>
          <w:tcPr>
            <w:tcW w:type="dxa" w:w="1040"/>
            <w:shd w:val="clear" w:color="auto" w:fill="1A1A2E"/>
          </w:tcPr>
          <w:p>
            <w:pPr>
              <w:jc w:val="center"/>
            </w:pPr>
            <w:r>
              <w:rPr>
                <w:rFonts w:ascii="Garamond" w:hAnsi="Garamond"/>
                <w:b/>
                <w:i w:val="0"/>
                <w:color w:val="FFFFFF"/>
                <w:sz w:val="18"/>
              </w:rPr>
              <w:t>Estimated Cost</w:t>
            </w:r>
          </w:p>
        </w:tc>
        <w:tc>
          <w:tcPr>
            <w:tcW w:type="dxa" w:w="1040"/>
            <w:shd w:val="clear" w:color="auto" w:fill="1A1A2E"/>
          </w:tcPr>
          <w:p>
            <w:pPr>
              <w:jc w:val="center"/>
            </w:pPr>
            <w:r>
              <w:rPr>
                <w:rFonts w:ascii="Garamond" w:hAnsi="Garamond"/>
                <w:b/>
                <w:i w:val="0"/>
                <w:color w:val="FFFFFF"/>
                <w:sz w:val="18"/>
              </w:rPr>
              <w:t>Priority</w:t>
            </w:r>
          </w:p>
        </w:tc>
      </w:tr>
      <w:tr>
        <w:tc>
          <w:tcPr>
            <w:tcW w:type="dxa" w:w="104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TD-001</w:t>
            </w:r>
          </w:p>
        </w:tc>
        <w:tc>
          <w:tcPr>
            <w:tcW w:type="dxa" w:w="104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Wynn Loyalty Platform</w:t>
            </w:r>
          </w:p>
        </w:tc>
        <w:tc>
          <w:tcPr>
            <w:tcW w:type="dxa" w:w="104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Custom-built loyalty platform on PHP 5.6 (unsupported); no unit tests; monolithic architecture</w:t>
            </w:r>
          </w:p>
        </w:tc>
        <w:tc>
          <w:tcPr>
            <w:tcW w:type="dxa" w:w="104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Architecture + Security</w:t>
            </w:r>
          </w:p>
        </w:tc>
        <w:tc>
          <w:tcPr>
            <w:tcW w:type="dxa" w:w="104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Critical</w:t>
            </w:r>
          </w:p>
        </w:tc>
        <w:tc>
          <w:tcPr>
            <w:tcW w:type="dxa" w:w="104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Guest loyalty data at risk; no cloud migration path</w:t>
            </w:r>
          </w:p>
        </w:tc>
        <w:tc>
          <w:tcPr>
            <w:tcW w:type="dxa" w:w="104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52</w:t>
            </w:r>
          </w:p>
        </w:tc>
        <w:tc>
          <w:tcPr>
            <w:tcW w:type="dxa" w:w="104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$2.1M</w:t>
            </w:r>
          </w:p>
        </w:tc>
        <w:tc>
          <w:tcPr>
            <w:tcW w:type="dxa" w:w="104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P1 -- FY2025</w:t>
            </w:r>
          </w:p>
        </w:tc>
      </w:tr>
      <w:tr>
        <w:tc>
          <w:tcPr>
            <w:tcW w:type="dxa" w:w="104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TD-002</w:t>
            </w:r>
          </w:p>
        </w:tc>
        <w:tc>
          <w:tcPr>
            <w:tcW w:type="dxa" w:w="104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Opera PMS</w:t>
            </w:r>
          </w:p>
        </w:tc>
        <w:tc>
          <w:tcPr>
            <w:tcW w:type="dxa" w:w="104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Oracle OPERA 5.6 with 47 custom modifications not supported by standard upgrades</w:t>
            </w:r>
          </w:p>
        </w:tc>
        <w:tc>
          <w:tcPr>
            <w:tcW w:type="dxa" w:w="104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Customization</w:t>
            </w:r>
          </w:p>
        </w:tc>
        <w:tc>
          <w:tcPr>
            <w:tcW w:type="dxa" w:w="104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High</w:t>
            </w:r>
          </w:p>
        </w:tc>
        <w:tc>
          <w:tcPr>
            <w:tcW w:type="dxa" w:w="104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Blocks upgrade to OPERA Cloud; security vulnerability</w:t>
            </w:r>
          </w:p>
        </w:tc>
        <w:tc>
          <w:tcPr>
            <w:tcW w:type="dxa" w:w="104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24</w:t>
            </w:r>
          </w:p>
        </w:tc>
        <w:tc>
          <w:tcPr>
            <w:tcW w:type="dxa" w:w="104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$840K</w:t>
            </w:r>
          </w:p>
        </w:tc>
        <w:tc>
          <w:tcPr>
            <w:tcW w:type="dxa" w:w="104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P1 -- FY2025</w:t>
            </w:r>
          </w:p>
        </w:tc>
      </w:tr>
      <w:tr>
        <w:tc>
          <w:tcPr>
            <w:tcW w:type="dxa" w:w="104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TD-003</w:t>
            </w:r>
          </w:p>
        </w:tc>
        <w:tc>
          <w:tcPr>
            <w:tcW w:type="dxa" w:w="104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Agilysys InfoGenesis POS</w:t>
            </w:r>
          </w:p>
        </w:tc>
        <w:tc>
          <w:tcPr>
            <w:tcW w:type="dxa" w:w="104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On-premise POS system at end of vendor support; no API integration with modern systems</w:t>
            </w:r>
          </w:p>
        </w:tc>
        <w:tc>
          <w:tcPr>
            <w:tcW w:type="dxa" w:w="104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Obsolescence</w:t>
            </w:r>
          </w:p>
        </w:tc>
        <w:tc>
          <w:tcPr>
            <w:tcW w:type="dxa" w:w="104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Critical</w:t>
            </w:r>
          </w:p>
        </w:tc>
        <w:tc>
          <w:tcPr>
            <w:tcW w:type="dxa" w:w="104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POS failure risk; no modern payment integration</w:t>
            </w:r>
          </w:p>
        </w:tc>
        <w:tc>
          <w:tcPr>
            <w:tcW w:type="dxa" w:w="104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16</w:t>
            </w:r>
          </w:p>
        </w:tc>
        <w:tc>
          <w:tcPr>
            <w:tcW w:type="dxa" w:w="104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$480K</w:t>
            </w:r>
          </w:p>
        </w:tc>
        <w:tc>
          <w:tcPr>
            <w:tcW w:type="dxa" w:w="104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P1 -- immediate</w:t>
            </w:r>
          </w:p>
        </w:tc>
      </w:tr>
      <w:tr>
        <w:tc>
          <w:tcPr>
            <w:tcW w:type="dxa" w:w="104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TD-004</w:t>
            </w:r>
          </w:p>
        </w:tc>
        <w:tc>
          <w:tcPr>
            <w:tcW w:type="dxa" w:w="104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Avaya Telecom Platform</w:t>
            </w:r>
          </w:p>
        </w:tc>
        <w:tc>
          <w:tcPr>
            <w:tcW w:type="dxa" w:w="104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On-premise Avaya phone system EOL 2025; no Teams integration; single point of failure</w:t>
            </w:r>
          </w:p>
        </w:tc>
        <w:tc>
          <w:tcPr>
            <w:tcW w:type="dxa" w:w="104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Obsolescence</w:t>
            </w:r>
          </w:p>
        </w:tc>
        <w:tc>
          <w:tcPr>
            <w:tcW w:type="dxa" w:w="104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High</w:t>
            </w:r>
          </w:p>
        </w:tc>
        <w:tc>
          <w:tcPr>
            <w:tcW w:type="dxa" w:w="104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Call center and guest room phone risk</w:t>
            </w:r>
          </w:p>
        </w:tc>
        <w:tc>
          <w:tcPr>
            <w:tcW w:type="dxa" w:w="104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20</w:t>
            </w:r>
          </w:p>
        </w:tc>
        <w:tc>
          <w:tcPr>
            <w:tcW w:type="dxa" w:w="104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$620K</w:t>
            </w:r>
          </w:p>
        </w:tc>
        <w:tc>
          <w:tcPr>
            <w:tcW w:type="dxa" w:w="104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P1 -- Q3 2025 (ADR approved)</w:t>
            </w:r>
          </w:p>
        </w:tc>
      </w:tr>
      <w:tr>
        <w:tc>
          <w:tcPr>
            <w:tcW w:type="dxa" w:w="104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TD-005</w:t>
            </w:r>
          </w:p>
        </w:tc>
        <w:tc>
          <w:tcPr>
            <w:tcW w:type="dxa" w:w="104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Oracle ERP</w:t>
            </w:r>
          </w:p>
        </w:tc>
        <w:tc>
          <w:tcPr>
            <w:tcW w:type="dxa" w:w="104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120+ custom Oracle reports written in Oracle Reports (deprecated); blocking cloud migration</w:t>
            </w:r>
          </w:p>
        </w:tc>
        <w:tc>
          <w:tcPr>
            <w:tcW w:type="dxa" w:w="104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Customization</w:t>
            </w:r>
          </w:p>
        </w:tc>
        <w:tc>
          <w:tcPr>
            <w:tcW w:type="dxa" w:w="104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High</w:t>
            </w:r>
          </w:p>
        </w:tc>
        <w:tc>
          <w:tcPr>
            <w:tcW w:type="dxa" w:w="104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Delays Oracle Cloud full go-live; report rebuild required</w:t>
            </w:r>
          </w:p>
        </w:tc>
        <w:tc>
          <w:tcPr>
            <w:tcW w:type="dxa" w:w="104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18</w:t>
            </w:r>
          </w:p>
        </w:tc>
        <w:tc>
          <w:tcPr>
            <w:tcW w:type="dxa" w:w="104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$390K</w:t>
            </w:r>
          </w:p>
        </w:tc>
        <w:tc>
          <w:tcPr>
            <w:tcW w:type="dxa" w:w="104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P2 -- FY2025-2026</w:t>
            </w:r>
          </w:p>
        </w:tc>
      </w:tr>
      <w:tr>
        <w:tc>
          <w:tcPr>
            <w:tcW w:type="dxa" w:w="104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TD-006</w:t>
            </w:r>
          </w:p>
        </w:tc>
        <w:tc>
          <w:tcPr>
            <w:tcW w:type="dxa" w:w="104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Salesforce CRM</w:t>
            </w:r>
          </w:p>
        </w:tc>
        <w:tc>
          <w:tcPr>
            <w:tcW w:type="dxa" w:w="104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Casino Host Salesforce configuration not upgraded since 2022; missing Salesforce Summer 2023 and 2024 features</w:t>
            </w:r>
          </w:p>
        </w:tc>
        <w:tc>
          <w:tcPr>
            <w:tcW w:type="dxa" w:w="104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Maintenance</w:t>
            </w:r>
          </w:p>
        </w:tc>
        <w:tc>
          <w:tcPr>
            <w:tcW w:type="dxa" w:w="104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Medium</w:t>
            </w:r>
          </w:p>
        </w:tc>
        <w:tc>
          <w:tcPr>
            <w:tcW w:type="dxa" w:w="104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Casino Host productivity below potential; guest profile gaps</w:t>
            </w:r>
          </w:p>
        </w:tc>
        <w:tc>
          <w:tcPr>
            <w:tcW w:type="dxa" w:w="104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8</w:t>
            </w:r>
          </w:p>
        </w:tc>
        <w:tc>
          <w:tcPr>
            <w:tcW w:type="dxa" w:w="104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$180K</w:t>
            </w:r>
          </w:p>
        </w:tc>
        <w:tc>
          <w:tcPr>
            <w:tcW w:type="dxa" w:w="104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P2 -- Q2 2025</w:t>
            </w:r>
          </w:p>
        </w:tc>
      </w:tr>
      <w:tr>
        <w:tc>
          <w:tcPr>
            <w:tcW w:type="dxa" w:w="104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TD-007</w:t>
            </w:r>
          </w:p>
        </w:tc>
        <w:tc>
          <w:tcPr>
            <w:tcW w:type="dxa" w:w="104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Azure Infrastructure</w:t>
            </w:r>
          </w:p>
        </w:tc>
        <w:tc>
          <w:tcPr>
            <w:tcW w:type="dxa" w:w="104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14 development servers running without auto-shutdown policies; monthly wasted cloud spend ~$12K</w:t>
            </w:r>
          </w:p>
        </w:tc>
        <w:tc>
          <w:tcPr>
            <w:tcW w:type="dxa" w:w="104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Cost</w:t>
            </w:r>
          </w:p>
        </w:tc>
        <w:tc>
          <w:tcPr>
            <w:tcW w:type="dxa" w:w="104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Low</w:t>
            </w:r>
          </w:p>
        </w:tc>
        <w:tc>
          <w:tcPr>
            <w:tcW w:type="dxa" w:w="104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No security risk; $144K annual waste</w:t>
            </w:r>
          </w:p>
        </w:tc>
        <w:tc>
          <w:tcPr>
            <w:tcW w:type="dxa" w:w="104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2</w:t>
            </w:r>
          </w:p>
        </w:tc>
        <w:tc>
          <w:tcPr>
            <w:tcW w:type="dxa" w:w="104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$40K</w:t>
            </w:r>
          </w:p>
        </w:tc>
        <w:tc>
          <w:tcPr>
            <w:tcW w:type="dxa" w:w="104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P3 -- Q1 2025</w:t>
            </w:r>
          </w:p>
        </w:tc>
      </w:tr>
      <w:tr>
        <w:tc>
          <w:tcPr>
            <w:tcW w:type="dxa" w:w="104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TD-008</w:t>
            </w:r>
          </w:p>
        </w:tc>
        <w:tc>
          <w:tcPr>
            <w:tcW w:type="dxa" w:w="104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Genetec Security Center</w:t>
            </w:r>
          </w:p>
        </w:tc>
        <w:tc>
          <w:tcPr>
            <w:tcW w:type="dxa" w:w="104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Video surveillance platform running on Windows Server 2016 (extended support ends 2027)</w:t>
            </w:r>
          </w:p>
        </w:tc>
        <w:tc>
          <w:tcPr>
            <w:tcW w:type="dxa" w:w="104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Obsolescence</w:t>
            </w:r>
          </w:p>
        </w:tc>
        <w:tc>
          <w:tcPr>
            <w:tcW w:type="dxa" w:w="104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Medium</w:t>
            </w:r>
          </w:p>
        </w:tc>
        <w:tc>
          <w:tcPr>
            <w:tcW w:type="dxa" w:w="104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Security risk materializes in 2027; plan upgrade path now</w:t>
            </w:r>
          </w:p>
        </w:tc>
        <w:tc>
          <w:tcPr>
            <w:tcW w:type="dxa" w:w="104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12</w:t>
            </w:r>
          </w:p>
        </w:tc>
        <w:tc>
          <w:tcPr>
            <w:tcW w:type="dxa" w:w="104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$320K</w:t>
            </w:r>
          </w:p>
        </w:tc>
        <w:tc>
          <w:tcPr>
            <w:tcW w:type="dxa" w:w="104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P3 -- FY2026</w:t>
            </w:r>
          </w:p>
        </w:tc>
      </w:tr>
      <w:tr>
        <w:tc>
          <w:tcPr>
            <w:tcW w:type="dxa" w:w="104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TD-009</w:t>
            </w:r>
          </w:p>
        </w:tc>
        <w:tc>
          <w:tcPr>
            <w:tcW w:type="dxa" w:w="104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Custom API Integration Layer</w:t>
            </w:r>
          </w:p>
        </w:tc>
        <w:tc>
          <w:tcPr>
            <w:tcW w:type="dxa" w:w="104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18 point-to-point integrations between legacy systems; no API gateway; brittle and undocumented</w:t>
            </w:r>
          </w:p>
        </w:tc>
        <w:tc>
          <w:tcPr>
            <w:tcW w:type="dxa" w:w="104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Architecture</w:t>
            </w:r>
          </w:p>
        </w:tc>
        <w:tc>
          <w:tcPr>
            <w:tcW w:type="dxa" w:w="104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High</w:t>
            </w:r>
          </w:p>
        </w:tc>
        <w:tc>
          <w:tcPr>
            <w:tcW w:type="dxa" w:w="104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Any system change creates cascading integration failures</w:t>
            </w:r>
          </w:p>
        </w:tc>
        <w:tc>
          <w:tcPr>
            <w:tcW w:type="dxa" w:w="104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32</w:t>
            </w:r>
          </w:p>
        </w:tc>
        <w:tc>
          <w:tcPr>
            <w:tcW w:type="dxa" w:w="104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$720K</w:t>
            </w:r>
          </w:p>
        </w:tc>
        <w:tc>
          <w:tcPr>
            <w:tcW w:type="dxa" w:w="104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P2 -- FY2025-2026</w:t>
            </w:r>
          </w:p>
        </w:tc>
      </w:tr>
      <w:tr>
        <w:tc>
          <w:tcPr>
            <w:tcW w:type="dxa" w:w="104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TD-010</w:t>
            </w:r>
          </w:p>
        </w:tc>
        <w:tc>
          <w:tcPr>
            <w:tcW w:type="dxa" w:w="104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Microsoft 365 Tenant</w:t>
            </w:r>
          </w:p>
        </w:tc>
        <w:tc>
          <w:tcPr>
            <w:tcW w:type="dxa" w:w="104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Tenant not fully configured for Conditional Access; MFA not enforced for 23% of users</w:t>
            </w:r>
          </w:p>
        </w:tc>
        <w:tc>
          <w:tcPr>
            <w:tcW w:type="dxa" w:w="104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Security</w:t>
            </w:r>
          </w:p>
        </w:tc>
        <w:tc>
          <w:tcPr>
            <w:tcW w:type="dxa" w:w="104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Critical</w:t>
            </w:r>
          </w:p>
        </w:tc>
        <w:tc>
          <w:tcPr>
            <w:tcW w:type="dxa" w:w="104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Identity compromise risk; cyber insurance requirement not met</w:t>
            </w:r>
          </w:p>
        </w:tc>
        <w:tc>
          <w:tcPr>
            <w:tcW w:type="dxa" w:w="104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4</w:t>
            </w:r>
          </w:p>
        </w:tc>
        <w:tc>
          <w:tcPr>
            <w:tcW w:type="dxa" w:w="104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$80K</w:t>
            </w:r>
          </w:p>
        </w:tc>
        <w:tc>
          <w:tcPr>
            <w:tcW w:type="dxa" w:w="104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P1 -- immediate</w:t>
            </w:r>
          </w:p>
        </w:tc>
      </w:tr>
      <w:tr>
        <w:tc>
          <w:tcPr>
            <w:tcW w:type="dxa" w:w="104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TD-011</w:t>
            </w:r>
          </w:p>
        </w:tc>
        <w:tc>
          <w:tcPr>
            <w:tcW w:type="dxa" w:w="104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Oracle ERP Data Quality</w:t>
            </w:r>
          </w:p>
        </w:tc>
        <w:tc>
          <w:tcPr>
            <w:tcW w:type="dxa" w:w="104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42% of vendor master records contain errors or duplicates from EBS migration</w:t>
            </w:r>
          </w:p>
        </w:tc>
        <w:tc>
          <w:tcPr>
            <w:tcW w:type="dxa" w:w="104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Data Quality</w:t>
            </w:r>
          </w:p>
        </w:tc>
        <w:tc>
          <w:tcPr>
            <w:tcW w:type="dxa" w:w="104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Medium</w:t>
            </w:r>
          </w:p>
        </w:tc>
        <w:tc>
          <w:tcPr>
            <w:tcW w:type="dxa" w:w="104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Procurement and AP process inefficiency; audit risk</w:t>
            </w:r>
          </w:p>
        </w:tc>
        <w:tc>
          <w:tcPr>
            <w:tcW w:type="dxa" w:w="104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6</w:t>
            </w:r>
          </w:p>
        </w:tc>
        <w:tc>
          <w:tcPr>
            <w:tcW w:type="dxa" w:w="104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$140K</w:t>
            </w:r>
          </w:p>
        </w:tc>
        <w:tc>
          <w:tcPr>
            <w:tcW w:type="dxa" w:w="104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P2 -- Q2 2025</w:t>
            </w:r>
          </w:p>
        </w:tc>
      </w:tr>
      <w:tr>
        <w:tc>
          <w:tcPr>
            <w:tcW w:type="dxa" w:w="104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TD-012</w:t>
            </w:r>
          </w:p>
        </w:tc>
        <w:tc>
          <w:tcPr>
            <w:tcW w:type="dxa" w:w="104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Tableau BI Platform</w:t>
            </w:r>
          </w:p>
        </w:tc>
        <w:tc>
          <w:tcPr>
            <w:tcW w:type="dxa" w:w="104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68 deprecated Tableau workbooks still in production; no governance on report lifecycle</w:t>
            </w:r>
          </w:p>
        </w:tc>
        <w:tc>
          <w:tcPr>
            <w:tcW w:type="dxa" w:w="104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Governance</w:t>
            </w:r>
          </w:p>
        </w:tc>
        <w:tc>
          <w:tcPr>
            <w:tcW w:type="dxa" w:w="104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Low</w:t>
            </w:r>
          </w:p>
        </w:tc>
        <w:tc>
          <w:tcPr>
            <w:tcW w:type="dxa" w:w="104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Confusion about authoritative data sources; wasted license cost</w:t>
            </w:r>
          </w:p>
        </w:tc>
        <w:tc>
          <w:tcPr>
            <w:tcW w:type="dxa" w:w="104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4</w:t>
            </w:r>
          </w:p>
        </w:tc>
        <w:tc>
          <w:tcPr>
            <w:tcW w:type="dxa" w:w="104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$60K</w:t>
            </w:r>
          </w:p>
        </w:tc>
        <w:tc>
          <w:tcPr>
            <w:tcW w:type="dxa" w:w="104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P3 -- Q2 2025</w:t>
            </w:r>
          </w:p>
        </w:tc>
      </w:tr>
      <w:tr>
        <w:tc>
          <w:tcPr>
            <w:tcW w:type="dxa" w:w="104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TD-013</w:t>
            </w:r>
          </w:p>
        </w:tc>
        <w:tc>
          <w:tcPr>
            <w:tcW w:type="dxa" w:w="104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Network Documentation</w:t>
            </w:r>
          </w:p>
        </w:tc>
        <w:tc>
          <w:tcPr>
            <w:tcW w:type="dxa" w:w="104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Network topology documentation last updated 2021; 34% of switch configurations undocumented</w:t>
            </w:r>
          </w:p>
        </w:tc>
        <w:tc>
          <w:tcPr>
            <w:tcW w:type="dxa" w:w="104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Documentation</w:t>
            </w:r>
          </w:p>
        </w:tc>
        <w:tc>
          <w:tcPr>
            <w:tcW w:type="dxa" w:w="104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High</w:t>
            </w:r>
          </w:p>
        </w:tc>
        <w:tc>
          <w:tcPr>
            <w:tcW w:type="dxa" w:w="104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Incident response hampered by lack of documentation</w:t>
            </w:r>
          </w:p>
        </w:tc>
        <w:tc>
          <w:tcPr>
            <w:tcW w:type="dxa" w:w="104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8</w:t>
            </w:r>
          </w:p>
        </w:tc>
        <w:tc>
          <w:tcPr>
            <w:tcW w:type="dxa" w:w="104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$120K</w:t>
            </w:r>
          </w:p>
        </w:tc>
        <w:tc>
          <w:tcPr>
            <w:tcW w:type="dxa" w:w="104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P2 -- Q1 2025</w:t>
            </w:r>
          </w:p>
        </w:tc>
      </w:tr>
      <w:tr>
        <w:tc>
          <w:tcPr>
            <w:tcW w:type="dxa" w:w="104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TD-014</w:t>
            </w:r>
          </w:p>
        </w:tc>
        <w:tc>
          <w:tcPr>
            <w:tcW w:type="dxa" w:w="104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Coupa Procurement</w:t>
            </w:r>
          </w:p>
        </w:tc>
        <w:tc>
          <w:tcPr>
            <w:tcW w:type="dxa" w:w="104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Approval workflow rules not updated since initial implementation; 6 workflow rules obsolete</w:t>
            </w:r>
          </w:p>
        </w:tc>
        <w:tc>
          <w:tcPr>
            <w:tcW w:type="dxa" w:w="104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Process</w:t>
            </w:r>
          </w:p>
        </w:tc>
        <w:tc>
          <w:tcPr>
            <w:tcW w:type="dxa" w:w="104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Low</w:t>
            </w:r>
          </w:p>
        </w:tc>
        <w:tc>
          <w:tcPr>
            <w:tcW w:type="dxa" w:w="104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Minor audit risk; procurement process inefficiency</w:t>
            </w:r>
          </w:p>
        </w:tc>
        <w:tc>
          <w:tcPr>
            <w:tcW w:type="dxa" w:w="104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2</w:t>
            </w:r>
          </w:p>
        </w:tc>
        <w:tc>
          <w:tcPr>
            <w:tcW w:type="dxa" w:w="104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$30K</w:t>
            </w:r>
          </w:p>
        </w:tc>
        <w:tc>
          <w:tcPr>
            <w:tcW w:type="dxa" w:w="104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P3 -- Q2 2025</w:t>
            </w:r>
          </w:p>
        </w:tc>
      </w:tr>
      <w:tr>
        <w:tc>
          <w:tcPr>
            <w:tcW w:type="dxa" w:w="104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TD-015</w:t>
            </w:r>
          </w:p>
        </w:tc>
        <w:tc>
          <w:tcPr>
            <w:tcW w:type="dxa" w:w="104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Azure DevOps</w:t>
            </w:r>
          </w:p>
        </w:tc>
        <w:tc>
          <w:tcPr>
            <w:tcW w:type="dxa" w:w="104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CI/CD pipelines exist for only 3 of 11 custom applications; manual deployment risk</w:t>
            </w:r>
          </w:p>
        </w:tc>
        <w:tc>
          <w:tcPr>
            <w:tcW w:type="dxa" w:w="104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DevOps</w:t>
            </w:r>
          </w:p>
        </w:tc>
        <w:tc>
          <w:tcPr>
            <w:tcW w:type="dxa" w:w="104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Medium</w:t>
            </w:r>
          </w:p>
        </w:tc>
        <w:tc>
          <w:tcPr>
            <w:tcW w:type="dxa" w:w="104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Deployment errors; no automated rollback capability</w:t>
            </w:r>
          </w:p>
        </w:tc>
        <w:tc>
          <w:tcPr>
            <w:tcW w:type="dxa" w:w="104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12</w:t>
            </w:r>
          </w:p>
        </w:tc>
        <w:tc>
          <w:tcPr>
            <w:tcW w:type="dxa" w:w="104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$180K</w:t>
            </w:r>
          </w:p>
        </w:tc>
        <w:tc>
          <w:tcPr>
            <w:tcW w:type="dxa" w:w="104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P2 -- FY2025</w:t>
            </w:r>
          </w:p>
        </w:tc>
      </w:tr>
    </w:tbl>
    <w:p>
      <w:pPr>
        <w:spacing w:before="0" w:after="120"/>
      </w:pPr>
    </w:p>
    <w:sectPr w:rsidR="00FC693F" w:rsidRPr="0006063C" w:rsidSect="00034616">
      <w:footerReference w:type="default" r:id="rId10"/>
      <w:pgSz w:w="12240" w:h="15840"/>
      <w:pgMar w:top="1224" w:right="1440" w:bottom="1224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Garamond" w:hAnsi="Garamond"/>
        <w:b w:val="0"/>
        <w:i/>
        <w:color w:val="6B6B6B"/>
        <w:sz w:val="15"/>
      </w:rPr>
      <w:t>Wynn Resorts, Limited  |  Strictly Confidential  |  03-technical-debt-backlog-q1-2025.docx  |  Do not distribute without authorization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