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9360"/>
            <w:shd w:val="clear" w:color="auto" w:fill="B89655"/>
          </w:tcPr>
          <w:p>
            <w:r/>
          </w:p>
        </w:tc>
      </w:tr>
    </w:tbl>
    <w:p>
      <w:pPr>
        <w:spacing w:before="0"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54480" cy="6987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698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vAlign w:val="center"/>
          </w:tcPr>
          <w:p/>
          <w:p>
            <w:pPr>
              <w:spacing w:before="0" w:after="20"/>
              <w:jc w:val="right"/>
            </w:pPr>
            <w:r>
              <w:rPr>
                <w:rFonts w:ascii="Garamond" w:hAnsi="Garamond"/>
                <w:b/>
                <w:i w:val="0"/>
                <w:color w:val="B89655"/>
                <w:sz w:val="18"/>
              </w:rPr>
              <w:t>WYNN RESORTS</w:t>
            </w:r>
          </w:p>
          <w:p>
            <w:pPr>
              <w:spacing w:before="0" w:after="40"/>
              <w:jc w:val="right"/>
            </w:pPr>
            <w:r>
              <w:rPr>
                <w:rFonts w:ascii="Garamond" w:hAnsi="Garamond"/>
                <w:b w:val="0"/>
                <w:i/>
                <w:color w:val="6B6B6B"/>
                <w:sz w:val="16"/>
              </w:rPr>
              <w:t>Office of the CTO | Information Security</w:t>
            </w:r>
          </w:p>
          <w:p>
            <w:pPr>
              <w:spacing w:before="0" w:after="0"/>
              <w:jc w:val="right"/>
            </w:pPr>
            <w:r>
              <w:rPr>
                <w:rFonts w:ascii="Garamond" w:hAnsi="Garamond"/>
                <w:b/>
                <w:i w:val="0"/>
                <w:color w:val="C0392B"/>
                <w:sz w:val="15"/>
              </w:rPr>
              <w:t>STRICTLY CONFIDENTIAL</w:t>
            </w:r>
          </w:p>
        </w:tc>
      </w:tr>
    </w:tbl>
    <w:p>
      <w:pPr>
        <w:spacing w:before="40" w:after="40"/>
        <w:pBdr>
          <w:bottom w:val="single" w:sz="16" w:space="1" w:color="B89655"/>
        </w:pBdr>
      </w:pPr>
    </w:p>
    <w:p>
      <w:pPr>
        <w:spacing w:before="0" w:after="60"/>
      </w:pPr>
    </w:p>
    <w:p>
      <w:pPr>
        <w:spacing w:before="0" w:after="80"/>
      </w:pPr>
      <w:r>
        <w:rPr>
          <w:rFonts w:ascii="Garamond" w:hAnsi="Garamond"/>
          <w:b/>
          <w:i w:val="0"/>
          <w:color w:val="6B6B6B"/>
          <w:sz w:val="18"/>
        </w:rPr>
        <w:t>INTERNAL AUDIT REPORT</w:t>
        <w:br/>
      </w:r>
      <w:r>
        <w:rPr>
          <w:rFonts w:ascii="Garamond" w:hAnsi="Garamond"/>
          <w:b/>
          <w:i w:val="0"/>
          <w:color w:val="1A1A2E"/>
          <w:sz w:val="36"/>
        </w:rPr>
        <w:t>Vulnerability Assessment Report -- Q1 2025</w:t>
      </w:r>
    </w:p>
    <w:p>
      <w:pPr>
        <w:spacing w:before="40" w:after="40"/>
        <w:pBdr>
          <w:bottom w:val="single" w:sz="8" w:space="1" w:color="B89655"/>
        </w:pBdr>
      </w:pPr>
    </w:p>
    <w:p>
      <w:pPr>
        <w:spacing w:before="0"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920"/>
      </w:tblGrid>
      <w:tr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Assessment Date</w:t>
            </w:r>
          </w:p>
        </w:tc>
        <w:tc>
          <w:tcPr>
            <w:tcW w:type="dxa" w:w="4680"/>
            <w:shd w:val="clear" w:color="auto" w:fill="1A1A2E"/>
          </w:tcPr>
          <w:p>
            <w:r>
              <w:rPr>
                <w:rFonts w:ascii="Garamond" w:hAnsi="Garamond"/>
                <w:b w:val="0"/>
                <w:i w:val="0"/>
                <w:color w:val="FFFFFF"/>
                <w:sz w:val="18"/>
              </w:rPr>
              <w:t>January 2025</w:t>
            </w:r>
          </w:p>
        </w:tc>
      </w:tr>
      <w:tr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Performed By</w:t>
            </w:r>
          </w:p>
        </w:tc>
        <w:tc>
          <w:tcPr>
            <w:tcW w:type="dxa" w:w="468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Internal Security Team + CrowdStrike</w:t>
            </w:r>
          </w:p>
        </w:tc>
      </w:tr>
      <w:tr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/>
                <w:i w:val="0"/>
                <w:color w:val="1A1A2E"/>
                <w:sz w:val="18"/>
              </w:rPr>
              <w:t>Scope</w:t>
            </w:r>
          </w:p>
        </w:tc>
        <w:tc>
          <w:tcPr>
            <w:tcW w:type="dxa" w:w="468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All production systems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Garamond" w:hAnsi="Garamond"/>
          <w:b/>
          <w:i w:val="0"/>
          <w:color w:val="1A1A2E"/>
          <w:sz w:val="30"/>
        </w:rPr>
        <w:t>Executive Summary</w:t>
      </w:r>
    </w:p>
    <w:p>
      <w:pPr>
        <w:spacing w:before="40" w:after="40"/>
        <w:pBdr>
          <w:bottom w:val="single" w:sz="16" w:space="1" w:color="B89655"/>
        </w:pBdr>
      </w:pPr>
    </w:p>
    <w:p>
      <w:pPr>
        <w:spacing w:before="20" w:after="80"/>
      </w:pPr>
      <w:r>
        <w:rPr>
          <w:rFonts w:ascii="Garamond" w:hAnsi="Garamond"/>
          <w:b w:val="0"/>
          <w:i w:val="0"/>
          <w:color w:val="1A1A1A"/>
          <w:sz w:val="20"/>
        </w:rPr>
        <w:t>The Q1 2025 vulnerability assessment identified 47 total vulnerabilities across production systems, comprising 3 Critical, 11 High, 24 Medium, and 9 Low severity findings. The 3 Critical vulnerabilities require immediate remediation within 72 hours per Wynn information security policy. The overall security posture has improved from Q4 2024, when 5 Critical vulnerabilities were identified, reflecting successful remediation activity by the engineering team. The primary risk concentration is in legacy on-premise systems, particularly the Avaya telecom platform and the Wynn Loyalty Platform custom application.</w:t>
      </w:r>
    </w:p>
    <w:p>
      <w:pPr>
        <w:spacing w:before="160" w:after="80"/>
      </w:pPr>
      <w:r>
        <w:rPr>
          <w:rFonts w:ascii="Garamond" w:hAnsi="Garamond"/>
          <w:b/>
          <w:i w:val="0"/>
          <w:color w:val="1A1A2E"/>
          <w:sz w:val="24"/>
        </w:rPr>
        <w:t>Vulnerability Register</w:t>
      </w:r>
    </w:p>
    <w:p>
      <w:pPr>
        <w:spacing w:before="40" w:after="40"/>
        <w:pBdr>
          <w:bottom w:val="single" w:sz="8" w:space="1" w:color="6B6B6B"/>
        </w:pBdr>
      </w:pP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Vuln ID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System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CVE Reference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Severity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CVSS Score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Remediation Owner</w:t>
            </w:r>
          </w:p>
        </w:tc>
        <w:tc>
          <w:tcPr>
            <w:tcW w:type="dxa" w:w="1170"/>
            <w:shd w:val="clear" w:color="auto" w:fill="1A1A2E"/>
          </w:tcPr>
          <w:p>
            <w:pPr>
              <w:jc w:val="center"/>
            </w:pPr>
            <w:r>
              <w:rPr>
                <w:rFonts w:ascii="Garamond" w:hAnsi="Garamond"/>
                <w:b/>
                <w:i w:val="0"/>
                <w:color w:val="FFFFFF"/>
                <w:sz w:val="18"/>
              </w:rPr>
              <w:t>Due Date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VUL-2025-001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Avaya Communications Platform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CVE-2024-36488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Critical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9.8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Patch in progress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Engineering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Jan 31 2025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VUL-2025-002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Wynn Loyalty Platform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CVE-2024-4978 (PHP 5.6)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Critical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9.4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Workaround applied; full fix requires platform upgrade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CISO + VP Engineering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Q2 2025 (requires ADR)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VUL-2025-003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Oracle ERP (on-premise legacy)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CVE-2024-21260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Critical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9.1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Patch approved; deployment window Feb 8 2025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Engineering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Feb 8 2025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VUL-2025-004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Microsoft Azure VMs (7 instances)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CVE-2024-38077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8.8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Patching in progress; 4 of 7 completed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Cloud Engineering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Feb 15 2025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VUL-2025-005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Agilysys InfoGenesis POS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CVE-2024-34750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8.4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Vendor patch available; deployment scheduled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Engineering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Feb 20 2025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VUL-2025-006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Palo Alto NGFW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CVE-2024-3400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8.2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Patched February 1 2025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Network Engineering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Completed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VUL-2025-007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Windows Server 2016 (Genetec)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CVE-2024-38143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7.8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Deferred to FY2026 upgrade per TD-008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CISO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FY2026 (accepted risk)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VUL-2025-008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Salesforce (misconfiguration)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N/A -- Config issue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7.4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Salesforce admin correcting sharing rules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Salesforce Admin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Feb 10 2025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VUL-2025-009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CrowdStrike Falcon Console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CVE-2024-1709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7.1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Patch applied January 28 2025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CISO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Completed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VUL-2025-010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Microsoft 365 MFA gaps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N/A -- Policy gap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High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7.0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MFA rollout in progress; 77% complete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IT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Feb 28 2025</w:t>
            </w:r>
          </w:p>
        </w:tc>
      </w:tr>
      <w:tr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VUL-2025-011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Cisco Meraki Switch Firmware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CVE-2024-20399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6.8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Firmware update scheduled in maintenance window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Network Engineering</w:t>
            </w:r>
          </w:p>
        </w:tc>
        <w:tc>
          <w:tcPr>
            <w:tcW w:type="dxa" w:w="1170"/>
            <w:shd w:val="clear" w:color="auto" w:fill="F5F5F5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Mar 1 2025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VUL-2025-012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Custom API Integration Layer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N/A -- Design flaw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Medium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6.4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Remediation requires API gateway project (TD-009)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VP Engineering</w:t>
            </w:r>
          </w:p>
        </w:tc>
        <w:tc>
          <w:tcPr>
            <w:tcW w:type="dxa" w:w="1170"/>
            <w:shd w:val="clear" w:color="auto" w:fill="FFFFFF"/>
          </w:tcPr>
          <w:p>
            <w:r>
              <w:rPr>
                <w:rFonts w:ascii="Garamond" w:hAnsi="Garamond"/>
                <w:b w:val="0"/>
                <w:i w:val="0"/>
                <w:color w:val="1A1A1A"/>
                <w:sz w:val="18"/>
              </w:rPr>
              <w:t>FY2025 (backlog)</w:t>
            </w:r>
          </w:p>
        </w:tc>
      </w:tr>
    </w:tbl>
    <w:p>
      <w:pPr>
        <w:spacing w:before="0" w:after="120"/>
      </w:pPr>
    </w:p>
    <w:sectPr w:rsidR="00FC693F" w:rsidRPr="0006063C" w:rsidSect="00034616">
      <w:footerReference w:type="default" r:id="rId10"/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b w:val="0"/>
        <w:i/>
        <w:color w:val="6B6B6B"/>
        <w:sz w:val="15"/>
      </w:rPr>
      <w:t>Wynn Resorts, Limited  |  Strictly Confidential  |  01-vulnerability-assessment-report-q1-2025.docx  |  Do not distribute without authorization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