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800"/>
      </w:tblGrid>
      <w:tr>
        <w:tc>
          <w:tcPr>
            <w:tcW w:type="dxa" w:w="9360"/>
            <w:shd w:val="clear" w:color="auto" w:fill="B89655"/>
          </w:tcPr>
          <w:p>
            <w:r/>
          </w:p>
        </w:tc>
      </w:tr>
    </w:tbl>
    <w:p>
      <w:pPr>
        <w:spacing w:before="0" w:after="60"/>
      </w:pPr>
    </w:p>
    <w:tbl>
      <w:tblPr>
        <w:tblW w:type="auto" w:w="0"/>
        <w:tblLayout w:type="fixed"/>
        <w:tblLook w:firstColumn="1" w:firstRow="1" w:lastColumn="0" w:lastRow="0" w:noHBand="0" w:noVBand="1" w:val="04A0"/>
      </w:tblPr>
      <w:tblGrid>
        <w:gridCol w:w="2880"/>
        <w:gridCol w:w="7920"/>
      </w:tblGrid>
      <w:tr>
        <w:tc>
          <w:tcPr>
            <w:tcW w:type="dxa" w:w="4680"/>
            <w:vAlign w:val="center"/>
          </w:tcPr>
          <w:p>
            <w:pPr>
              <w:jc w:val="left"/>
            </w:pPr>
            <w:r>
              <w:drawing>
                <wp:inline xmlns:a="http://schemas.openxmlformats.org/drawingml/2006/main" xmlns:pic="http://schemas.openxmlformats.org/drawingml/2006/picture">
                  <wp:extent cx="1554480" cy="6987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54480" cy="698776"/>
                          </a:xfrm>
                          <a:prstGeom prst="rect"/>
                        </pic:spPr>
                      </pic:pic>
                    </a:graphicData>
                  </a:graphic>
                </wp:inline>
              </w:drawing>
            </w:r>
          </w:p>
        </w:tc>
        <w:tc>
          <w:tcPr>
            <w:tcW w:type="dxa" w:w="4680"/>
            <w:vAlign w:val="center"/>
          </w:tcPr>
          <w:p/>
          <w:p>
            <w:pPr>
              <w:spacing w:before="0" w:after="20"/>
              <w:jc w:val="right"/>
            </w:pPr>
            <w:r>
              <w:rPr>
                <w:rFonts w:ascii="Garamond" w:hAnsi="Garamond"/>
                <w:b/>
                <w:i w:val="0"/>
                <w:color w:val="B89655"/>
                <w:sz w:val="18"/>
              </w:rPr>
              <w:t>WYNN RESORTS</w:t>
            </w:r>
          </w:p>
          <w:p>
            <w:pPr>
              <w:spacing w:before="0" w:after="40"/>
              <w:jc w:val="right"/>
            </w:pPr>
            <w:r>
              <w:rPr>
                <w:rFonts w:ascii="Garamond" w:hAnsi="Garamond"/>
                <w:b w:val="0"/>
                <w:i/>
                <w:color w:val="6B6B6B"/>
                <w:sz w:val="16"/>
              </w:rPr>
              <w:t>Office of the CTO | Technology Strategy</w:t>
            </w:r>
          </w:p>
          <w:p>
            <w:pPr>
              <w:spacing w:before="0" w:after="0"/>
              <w:jc w:val="right"/>
            </w:pPr>
            <w:r>
              <w:rPr>
                <w:rFonts w:ascii="Garamond" w:hAnsi="Garamond"/>
                <w:b/>
                <w:i w:val="0"/>
                <w:color w:val="C0392B"/>
                <w:sz w:val="15"/>
              </w:rPr>
              <w:t>STRICTLY CONFIDENTIAL</w:t>
            </w:r>
          </w:p>
        </w:tc>
      </w:tr>
    </w:tbl>
    <w:p>
      <w:pPr>
        <w:spacing w:before="40" w:after="40"/>
        <w:pBdr>
          <w:bottom w:val="single" w:sz="16" w:space="1" w:color="B89655"/>
        </w:pBdr>
      </w:pPr>
    </w:p>
    <w:p>
      <w:pPr>
        <w:spacing w:before="0" w:after="60"/>
      </w:pPr>
    </w:p>
    <w:p>
      <w:pPr>
        <w:spacing w:before="0" w:after="80"/>
      </w:pPr>
      <w:r>
        <w:rPr>
          <w:rFonts w:ascii="Garamond" w:hAnsi="Garamond"/>
          <w:b/>
          <w:i w:val="0"/>
          <w:color w:val="6B6B6B"/>
          <w:sz w:val="18"/>
        </w:rPr>
        <w:t>INTERNAL AUDIT REPORT</w:t>
        <w:br/>
      </w:r>
      <w:r>
        <w:rPr>
          <w:rFonts w:ascii="Garamond" w:hAnsi="Garamond"/>
          <w:b/>
          <w:i w:val="0"/>
          <w:color w:val="1A1A2E"/>
          <w:sz w:val="36"/>
        </w:rPr>
        <w:t>Technology Business Case: Next-Generation Loyalty Platform</w:t>
      </w:r>
    </w:p>
    <w:p>
      <w:pPr>
        <w:spacing w:before="40" w:after="40"/>
        <w:pBdr>
          <w:bottom w:val="single" w:sz="8" w:space="1" w:color="B89655"/>
        </w:pBdr>
      </w:pPr>
    </w:p>
    <w:p>
      <w:pPr>
        <w:spacing w:before="0" w:after="120"/>
      </w:pPr>
    </w:p>
    <w:tbl>
      <w:tblPr>
        <w:tblStyle w:val="TableGrid"/>
        <w:tblW w:type="auto" w:w="0"/>
        <w:tblLayout w:type="fixed"/>
        <w:tblLook w:firstColumn="1" w:firstRow="1" w:lastColumn="0" w:lastRow="0" w:noHBand="0" w:noVBand="1" w:val="04A0"/>
      </w:tblPr>
      <w:tblGrid>
        <w:gridCol w:w="2880"/>
        <w:gridCol w:w="7920"/>
      </w:tblGrid>
      <w:tr>
        <w:tc>
          <w:tcPr>
            <w:tcW w:type="dxa" w:w="4680"/>
            <w:shd w:val="clear" w:color="auto" w:fill="1A1A2E"/>
          </w:tcPr>
          <w:p>
            <w:r>
              <w:rPr>
                <w:rFonts w:ascii="Garamond" w:hAnsi="Garamond"/>
                <w:b/>
                <w:i w:val="0"/>
                <w:color w:val="FFFFFF"/>
                <w:sz w:val="18"/>
              </w:rPr>
              <w:t>Project</w:t>
            </w:r>
          </w:p>
        </w:tc>
        <w:tc>
          <w:tcPr>
            <w:tcW w:type="dxa" w:w="4680"/>
            <w:shd w:val="clear" w:color="auto" w:fill="1A1A2E"/>
          </w:tcPr>
          <w:p>
            <w:r>
              <w:rPr>
                <w:rFonts w:ascii="Garamond" w:hAnsi="Garamond"/>
                <w:b w:val="0"/>
                <w:i w:val="0"/>
                <w:color w:val="FFFFFF"/>
                <w:sz w:val="18"/>
              </w:rPr>
              <w:t>TECH-2025-008</w:t>
            </w:r>
          </w:p>
        </w:tc>
      </w:tr>
      <w:tr>
        <w:tc>
          <w:tcPr>
            <w:tcW w:type="dxa" w:w="4680"/>
            <w:shd w:val="clear" w:color="auto" w:fill="FFFFFF"/>
          </w:tcPr>
          <w:p>
            <w:r>
              <w:rPr>
                <w:rFonts w:ascii="Garamond" w:hAnsi="Garamond"/>
                <w:b/>
                <w:i w:val="0"/>
                <w:color w:val="1A1A2E"/>
                <w:sz w:val="18"/>
              </w:rPr>
              <w:t>Investment Required</w:t>
            </w:r>
          </w:p>
        </w:tc>
        <w:tc>
          <w:tcPr>
            <w:tcW w:type="dxa" w:w="4680"/>
            <w:shd w:val="clear" w:color="auto" w:fill="FFFFFF"/>
          </w:tcPr>
          <w:p>
            <w:r>
              <w:rPr>
                <w:rFonts w:ascii="Garamond" w:hAnsi="Garamond"/>
                <w:b w:val="0"/>
                <w:i w:val="0"/>
                <w:color w:val="1A1A1A"/>
                <w:sz w:val="18"/>
              </w:rPr>
              <w:t>$12.8M</w:t>
            </w:r>
          </w:p>
        </w:tc>
      </w:tr>
      <w:tr>
        <w:tc>
          <w:tcPr>
            <w:tcW w:type="dxa" w:w="4680"/>
            <w:shd w:val="clear" w:color="auto" w:fill="F5F5F5"/>
          </w:tcPr>
          <w:p>
            <w:r>
              <w:rPr>
                <w:rFonts w:ascii="Garamond" w:hAnsi="Garamond"/>
                <w:b/>
                <w:i w:val="0"/>
                <w:color w:val="1A1A2E"/>
                <w:sz w:val="18"/>
              </w:rPr>
              <w:t>Submitted By</w:t>
            </w:r>
          </w:p>
        </w:tc>
        <w:tc>
          <w:tcPr>
            <w:tcW w:type="dxa" w:w="4680"/>
            <w:shd w:val="clear" w:color="auto" w:fill="F5F5F5"/>
          </w:tcPr>
          <w:p>
            <w:r>
              <w:rPr>
                <w:rFonts w:ascii="Garamond" w:hAnsi="Garamond"/>
                <w:b w:val="0"/>
                <w:i w:val="0"/>
                <w:color w:val="1A1A1A"/>
                <w:sz w:val="18"/>
              </w:rPr>
              <w:t>VP Product Technology</w:t>
            </w:r>
          </w:p>
        </w:tc>
      </w:tr>
      <w:tr>
        <w:tc>
          <w:tcPr>
            <w:tcW w:type="dxa" w:w="4680"/>
            <w:shd w:val="clear" w:color="auto" w:fill="FFFFFF"/>
          </w:tcPr>
          <w:p>
            <w:r>
              <w:rPr>
                <w:rFonts w:ascii="Garamond" w:hAnsi="Garamond"/>
                <w:b/>
                <w:i w:val="0"/>
                <w:color w:val="1A1A2E"/>
                <w:sz w:val="18"/>
              </w:rPr>
              <w:t>Date</w:t>
            </w:r>
          </w:p>
        </w:tc>
        <w:tc>
          <w:tcPr>
            <w:tcW w:type="dxa" w:w="4680"/>
            <w:shd w:val="clear" w:color="auto" w:fill="FFFFFF"/>
          </w:tcPr>
          <w:p>
            <w:r>
              <w:rPr>
                <w:rFonts w:ascii="Garamond" w:hAnsi="Garamond"/>
                <w:b w:val="0"/>
                <w:i w:val="0"/>
                <w:color w:val="1A1A1A"/>
                <w:sz w:val="18"/>
              </w:rPr>
              <w:t>February 2025</w:t>
            </w:r>
          </w:p>
        </w:tc>
      </w:tr>
    </w:tbl>
    <w:p>
      <w:pPr>
        <w:spacing w:before="0" w:after="160"/>
      </w:pPr>
    </w:p>
    <w:p>
      <w:pPr>
        <w:spacing w:before="280" w:after="80"/>
      </w:pPr>
      <w:r>
        <w:rPr>
          <w:rFonts w:ascii="Garamond" w:hAnsi="Garamond"/>
          <w:b/>
          <w:i w:val="0"/>
          <w:color w:val="1A1A2E"/>
          <w:sz w:val="30"/>
        </w:rPr>
        <w:t>Business Problem &amp; Context</w:t>
      </w:r>
    </w:p>
    <w:p>
      <w:pPr>
        <w:spacing w:before="40" w:after="40"/>
        <w:pBdr>
          <w:bottom w:val="single" w:sz="16" w:space="1" w:color="B89655"/>
        </w:pBdr>
      </w:pPr>
    </w:p>
    <w:p>
      <w:pPr>
        <w:spacing w:before="20" w:after="80"/>
      </w:pPr>
      <w:r>
        <w:rPr>
          <w:rFonts w:ascii="Garamond" w:hAnsi="Garamond"/>
          <w:b w:val="0"/>
          <w:i w:val="0"/>
          <w:color w:val="1A1A1A"/>
          <w:sz w:val="20"/>
        </w:rPr>
        <w:t>The current Wynn Loyalty Platform is a custom-built application developed in 2017 on PHP 5.6 (unsupported). It serves 1.4M active loyalty members and processes 847,000 point transactions per month. The platform has zero API integration with Salesforce CRM, no mobile app capability, and cannot support the personalization features required for the FY2026 digital guest experience strategy. Technical debt item TD-001 identifies this as a Critical priority. A decision is required in Q2 2025 to allow sufficient lead time for implementation before the current platform's end of support in Q4 2026.</w:t>
      </w:r>
    </w:p>
    <w:p>
      <w:pPr>
        <w:spacing w:before="160" w:after="80"/>
      </w:pPr>
      <w:r>
        <w:rPr>
          <w:rFonts w:ascii="Garamond" w:hAnsi="Garamond"/>
          <w:b/>
          <w:i w:val="0"/>
          <w:color w:val="1A1A2E"/>
          <w:sz w:val="24"/>
        </w:rPr>
        <w:t>Build / Buy / Partner Analysis</w:t>
      </w:r>
    </w:p>
    <w:p>
      <w:pPr>
        <w:spacing w:before="40" w:after="40"/>
        <w:pBdr>
          <w:bottom w:val="single" w:sz="8" w:space="1" w:color="6B6B6B"/>
        </w:pBdr>
      </w:pP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1A2E"/>
          </w:tcPr>
          <w:p>
            <w:pPr>
              <w:jc w:val="center"/>
            </w:pPr>
            <w:r>
              <w:rPr>
                <w:rFonts w:ascii="Garamond" w:hAnsi="Garamond"/>
                <w:b/>
                <w:i w:val="0"/>
                <w:color w:val="FFFFFF"/>
                <w:sz w:val="18"/>
              </w:rPr>
              <w:t>Option</w:t>
            </w:r>
          </w:p>
        </w:tc>
        <w:tc>
          <w:tcPr>
            <w:tcW w:type="dxa" w:w="1337"/>
            <w:shd w:val="clear" w:color="auto" w:fill="1A1A2E"/>
          </w:tcPr>
          <w:p>
            <w:pPr>
              <w:jc w:val="center"/>
            </w:pPr>
            <w:r>
              <w:rPr>
                <w:rFonts w:ascii="Garamond" w:hAnsi="Garamond"/>
                <w:b/>
                <w:i w:val="0"/>
                <w:color w:val="FFFFFF"/>
                <w:sz w:val="18"/>
              </w:rPr>
              <w:t>Description</w:t>
            </w:r>
          </w:p>
        </w:tc>
        <w:tc>
          <w:tcPr>
            <w:tcW w:type="dxa" w:w="1337"/>
            <w:shd w:val="clear" w:color="auto" w:fill="1A1A2E"/>
          </w:tcPr>
          <w:p>
            <w:pPr>
              <w:jc w:val="center"/>
            </w:pPr>
            <w:r>
              <w:rPr>
                <w:rFonts w:ascii="Garamond" w:hAnsi="Garamond"/>
                <w:b/>
                <w:i w:val="0"/>
                <w:color w:val="FFFFFF"/>
                <w:sz w:val="18"/>
              </w:rPr>
              <w:t>Pros</w:t>
            </w:r>
          </w:p>
        </w:tc>
        <w:tc>
          <w:tcPr>
            <w:tcW w:type="dxa" w:w="1337"/>
            <w:shd w:val="clear" w:color="auto" w:fill="1A1A2E"/>
          </w:tcPr>
          <w:p>
            <w:pPr>
              <w:jc w:val="center"/>
            </w:pPr>
            <w:r>
              <w:rPr>
                <w:rFonts w:ascii="Garamond" w:hAnsi="Garamond"/>
                <w:b/>
                <w:i w:val="0"/>
                <w:color w:val="FFFFFF"/>
                <w:sz w:val="18"/>
              </w:rPr>
              <w:t>Cons</w:t>
            </w:r>
          </w:p>
        </w:tc>
        <w:tc>
          <w:tcPr>
            <w:tcW w:type="dxa" w:w="1337"/>
            <w:shd w:val="clear" w:color="auto" w:fill="1A1A2E"/>
          </w:tcPr>
          <w:p>
            <w:pPr>
              <w:jc w:val="center"/>
            </w:pPr>
            <w:r>
              <w:rPr>
                <w:rFonts w:ascii="Garamond" w:hAnsi="Garamond"/>
                <w:b/>
                <w:i w:val="0"/>
                <w:color w:val="FFFFFF"/>
                <w:sz w:val="18"/>
              </w:rPr>
              <w:t>Estimated Cost</w:t>
            </w:r>
          </w:p>
        </w:tc>
        <w:tc>
          <w:tcPr>
            <w:tcW w:type="dxa" w:w="1337"/>
            <w:shd w:val="clear" w:color="auto" w:fill="1A1A2E"/>
          </w:tcPr>
          <w:p>
            <w:pPr>
              <w:jc w:val="center"/>
            </w:pPr>
            <w:r>
              <w:rPr>
                <w:rFonts w:ascii="Garamond" w:hAnsi="Garamond"/>
                <w:b/>
                <w:i w:val="0"/>
                <w:color w:val="FFFFFF"/>
                <w:sz w:val="18"/>
              </w:rPr>
              <w:t>Timeline</w:t>
            </w:r>
          </w:p>
        </w:tc>
        <w:tc>
          <w:tcPr>
            <w:tcW w:type="dxa" w:w="1337"/>
            <w:shd w:val="clear" w:color="auto" w:fill="1A1A2E"/>
          </w:tcPr>
          <w:p>
            <w:pPr>
              <w:jc w:val="center"/>
            </w:pPr>
            <w:r>
              <w:rPr>
                <w:rFonts w:ascii="Garamond" w:hAnsi="Garamond"/>
                <w:b/>
                <w:i w:val="0"/>
                <w:color w:val="FFFFFF"/>
                <w:sz w:val="18"/>
              </w:rPr>
              <w:t>Risk</w:t>
            </w:r>
          </w:p>
        </w:tc>
      </w:tr>
      <w:tr>
        <w:tc>
          <w:tcPr>
            <w:tcW w:type="dxa" w:w="1337"/>
            <w:shd w:val="clear" w:color="auto" w:fill="F5F5F5"/>
          </w:tcPr>
          <w:p>
            <w:r>
              <w:rPr>
                <w:rFonts w:ascii="Garamond" w:hAnsi="Garamond"/>
                <w:b w:val="0"/>
                <w:i w:val="0"/>
                <w:color w:val="1A1A1A"/>
                <w:sz w:val="18"/>
              </w:rPr>
              <w:t>Build (Internal)</w:t>
            </w:r>
          </w:p>
        </w:tc>
        <w:tc>
          <w:tcPr>
            <w:tcW w:type="dxa" w:w="1337"/>
            <w:shd w:val="clear" w:color="auto" w:fill="F5F5F5"/>
          </w:tcPr>
          <w:p>
            <w:r>
              <w:rPr>
                <w:rFonts w:ascii="Garamond" w:hAnsi="Garamond"/>
                <w:b w:val="0"/>
                <w:i w:val="0"/>
                <w:color w:val="1A1A1A"/>
                <w:sz w:val="18"/>
              </w:rPr>
              <w:t>Rebuild loyalty platform from scratch using Azure microservices + React Native mobile app</w:t>
            </w:r>
          </w:p>
        </w:tc>
        <w:tc>
          <w:tcPr>
            <w:tcW w:type="dxa" w:w="1337"/>
            <w:shd w:val="clear" w:color="auto" w:fill="F5F5F5"/>
          </w:tcPr>
          <w:p>
            <w:r>
              <w:rPr>
                <w:rFonts w:ascii="Garamond" w:hAnsi="Garamond"/>
                <w:b w:val="0"/>
                <w:i w:val="0"/>
                <w:color w:val="1A1A1A"/>
                <w:sz w:val="18"/>
              </w:rPr>
              <w:t>Full control; deep integration with Wynn systems; no vendor lock-in</w:t>
            </w:r>
          </w:p>
        </w:tc>
        <w:tc>
          <w:tcPr>
            <w:tcW w:type="dxa" w:w="1337"/>
            <w:shd w:val="clear" w:color="auto" w:fill="F5F5F5"/>
          </w:tcPr>
          <w:p>
            <w:r>
              <w:rPr>
                <w:rFonts w:ascii="Garamond" w:hAnsi="Garamond"/>
                <w:b w:val="0"/>
                <w:i w:val="0"/>
                <w:color w:val="1A1A1A"/>
                <w:sz w:val="18"/>
              </w:rPr>
              <w:t>12-18 month timeline; requires 8+ senior engineers; historically our builds run over budget</w:t>
            </w:r>
          </w:p>
        </w:tc>
        <w:tc>
          <w:tcPr>
            <w:tcW w:type="dxa" w:w="1337"/>
            <w:shd w:val="clear" w:color="auto" w:fill="F5F5F5"/>
          </w:tcPr>
          <w:p>
            <w:r>
              <w:rPr>
                <w:rFonts w:ascii="Garamond" w:hAnsi="Garamond"/>
                <w:b w:val="0"/>
                <w:i w:val="0"/>
                <w:color w:val="1A1A1A"/>
                <w:sz w:val="18"/>
              </w:rPr>
              <w:t>$14.2M (5-year TCO)</w:t>
            </w:r>
          </w:p>
        </w:tc>
        <w:tc>
          <w:tcPr>
            <w:tcW w:type="dxa" w:w="1337"/>
            <w:shd w:val="clear" w:color="auto" w:fill="F5F5F5"/>
          </w:tcPr>
          <w:p>
            <w:r>
              <w:rPr>
                <w:rFonts w:ascii="Garamond" w:hAnsi="Garamond"/>
                <w:b w:val="0"/>
                <w:i w:val="0"/>
                <w:color w:val="1A1A1A"/>
                <w:sz w:val="18"/>
              </w:rPr>
              <w:t>18 months</w:t>
            </w:r>
          </w:p>
        </w:tc>
        <w:tc>
          <w:tcPr>
            <w:tcW w:type="dxa" w:w="1337"/>
            <w:shd w:val="clear" w:color="auto" w:fill="F5F5F5"/>
          </w:tcPr>
          <w:p>
            <w:r>
              <w:rPr>
                <w:rFonts w:ascii="Garamond" w:hAnsi="Garamond"/>
                <w:b w:val="0"/>
                <w:i w:val="0"/>
                <w:color w:val="1A1A1A"/>
                <w:sz w:val="18"/>
              </w:rPr>
              <w:t>High -- see CAPEX-2023-011 precedent</w:t>
            </w:r>
          </w:p>
        </w:tc>
      </w:tr>
      <w:tr>
        <w:tc>
          <w:tcPr>
            <w:tcW w:type="dxa" w:w="1337"/>
            <w:shd w:val="clear" w:color="auto" w:fill="FFFFFF"/>
          </w:tcPr>
          <w:p>
            <w:r>
              <w:rPr>
                <w:rFonts w:ascii="Garamond" w:hAnsi="Garamond"/>
                <w:b w:val="0"/>
                <w:i w:val="0"/>
                <w:color w:val="1A1A1A"/>
                <w:sz w:val="18"/>
              </w:rPr>
              <w:t>Buy (Salesforce Loyalty Management)</w:t>
            </w:r>
          </w:p>
        </w:tc>
        <w:tc>
          <w:tcPr>
            <w:tcW w:type="dxa" w:w="1337"/>
            <w:shd w:val="clear" w:color="auto" w:fill="FFFFFF"/>
          </w:tcPr>
          <w:p>
            <w:r>
              <w:rPr>
                <w:rFonts w:ascii="Garamond" w:hAnsi="Garamond"/>
                <w:b w:val="0"/>
                <w:i w:val="0"/>
                <w:color w:val="1A1A1A"/>
                <w:sz w:val="18"/>
              </w:rPr>
              <w:t>Implement Salesforce Loyalty Management on existing Salesforce platform</w:t>
            </w:r>
          </w:p>
        </w:tc>
        <w:tc>
          <w:tcPr>
            <w:tcW w:type="dxa" w:w="1337"/>
            <w:shd w:val="clear" w:color="auto" w:fill="FFFFFF"/>
          </w:tcPr>
          <w:p>
            <w:r>
              <w:rPr>
                <w:rFonts w:ascii="Garamond" w:hAnsi="Garamond"/>
                <w:b w:val="0"/>
                <w:i w:val="0"/>
                <w:color w:val="1A1A1A"/>
                <w:sz w:val="18"/>
              </w:rPr>
              <w:t>Built on existing Salesforce investment; rapid deployment; strong mobile features</w:t>
            </w:r>
          </w:p>
        </w:tc>
        <w:tc>
          <w:tcPr>
            <w:tcW w:type="dxa" w:w="1337"/>
            <w:shd w:val="clear" w:color="auto" w:fill="FFFFFF"/>
          </w:tcPr>
          <w:p>
            <w:r>
              <w:rPr>
                <w:rFonts w:ascii="Garamond" w:hAnsi="Garamond"/>
                <w:b w:val="0"/>
                <w:i w:val="0"/>
                <w:color w:val="1A1A1A"/>
                <w:sz w:val="18"/>
              </w:rPr>
              <w:t>$4.1M additional annual license; limited casino-specific features; Salesforce roadmap dependency</w:t>
            </w:r>
          </w:p>
        </w:tc>
        <w:tc>
          <w:tcPr>
            <w:tcW w:type="dxa" w:w="1337"/>
            <w:shd w:val="clear" w:color="auto" w:fill="FFFFFF"/>
          </w:tcPr>
          <w:p>
            <w:r>
              <w:rPr>
                <w:rFonts w:ascii="Garamond" w:hAnsi="Garamond"/>
                <w:b w:val="0"/>
                <w:i w:val="0"/>
                <w:color w:val="1A1A1A"/>
                <w:sz w:val="18"/>
              </w:rPr>
              <w:t>$11.8M (5-year TCO)</w:t>
            </w:r>
          </w:p>
        </w:tc>
        <w:tc>
          <w:tcPr>
            <w:tcW w:type="dxa" w:w="1337"/>
            <w:shd w:val="clear" w:color="auto" w:fill="FFFFFF"/>
          </w:tcPr>
          <w:p>
            <w:r>
              <w:rPr>
                <w:rFonts w:ascii="Garamond" w:hAnsi="Garamond"/>
                <w:b w:val="0"/>
                <w:i w:val="0"/>
                <w:color w:val="1A1A1A"/>
                <w:sz w:val="18"/>
              </w:rPr>
              <w:t>8 months</w:t>
            </w:r>
          </w:p>
        </w:tc>
        <w:tc>
          <w:tcPr>
            <w:tcW w:type="dxa" w:w="1337"/>
            <w:shd w:val="clear" w:color="auto" w:fill="FFFFFF"/>
          </w:tcPr>
          <w:p>
            <w:r>
              <w:rPr>
                <w:rFonts w:ascii="Garamond" w:hAnsi="Garamond"/>
                <w:b w:val="0"/>
                <w:i w:val="0"/>
                <w:color w:val="1A1A1A"/>
                <w:sz w:val="18"/>
              </w:rPr>
              <w:t>Medium -- integration with Opera PMS complex</w:t>
            </w:r>
          </w:p>
        </w:tc>
      </w:tr>
      <w:tr>
        <w:tc>
          <w:tcPr>
            <w:tcW w:type="dxa" w:w="1337"/>
            <w:shd w:val="clear" w:color="auto" w:fill="F5F5F5"/>
          </w:tcPr>
          <w:p>
            <w:r>
              <w:rPr>
                <w:rFonts w:ascii="Garamond" w:hAnsi="Garamond"/>
                <w:b w:val="0"/>
                <w:i w:val="0"/>
                <w:color w:val="1A1A1A"/>
                <w:sz w:val="18"/>
              </w:rPr>
              <w:t>Buy (Oracle CrowdTwist)</w:t>
            </w:r>
          </w:p>
        </w:tc>
        <w:tc>
          <w:tcPr>
            <w:tcW w:type="dxa" w:w="1337"/>
            <w:shd w:val="clear" w:color="auto" w:fill="F5F5F5"/>
          </w:tcPr>
          <w:p>
            <w:r>
              <w:rPr>
                <w:rFonts w:ascii="Garamond" w:hAnsi="Garamond"/>
                <w:b w:val="0"/>
                <w:i w:val="0"/>
                <w:color w:val="1A1A1A"/>
                <w:sz w:val="18"/>
              </w:rPr>
              <w:t>Implement Oracle CrowdTwist loyalty platform</w:t>
            </w:r>
          </w:p>
        </w:tc>
        <w:tc>
          <w:tcPr>
            <w:tcW w:type="dxa" w:w="1337"/>
            <w:shd w:val="clear" w:color="auto" w:fill="F5F5F5"/>
          </w:tcPr>
          <w:p>
            <w:r>
              <w:rPr>
                <w:rFonts w:ascii="Garamond" w:hAnsi="Garamond"/>
                <w:b w:val="0"/>
                <w:i w:val="0"/>
                <w:color w:val="1A1A1A"/>
                <w:sz w:val="18"/>
              </w:rPr>
              <w:t>Casino industry focus; Oracle integration; strong API layer</w:t>
            </w:r>
          </w:p>
        </w:tc>
        <w:tc>
          <w:tcPr>
            <w:tcW w:type="dxa" w:w="1337"/>
            <w:shd w:val="clear" w:color="auto" w:fill="F5F5F5"/>
          </w:tcPr>
          <w:p>
            <w:r>
              <w:rPr>
                <w:rFonts w:ascii="Garamond" w:hAnsi="Garamond"/>
                <w:b w:val="0"/>
                <w:i w:val="0"/>
                <w:color w:val="1A1A1A"/>
                <w:sz w:val="18"/>
              </w:rPr>
              <w:t>Additional Oracle licensing; Oracle roadmap uncertainty post-acquisition; $3.2M annual cost</w:t>
            </w:r>
          </w:p>
        </w:tc>
        <w:tc>
          <w:tcPr>
            <w:tcW w:type="dxa" w:w="1337"/>
            <w:shd w:val="clear" w:color="auto" w:fill="F5F5F5"/>
          </w:tcPr>
          <w:p>
            <w:r>
              <w:rPr>
                <w:rFonts w:ascii="Garamond" w:hAnsi="Garamond"/>
                <w:b w:val="0"/>
                <w:i w:val="0"/>
                <w:color w:val="1A1A1A"/>
                <w:sz w:val="18"/>
              </w:rPr>
              <w:t>$13.4M (5-year TCO)</w:t>
            </w:r>
          </w:p>
        </w:tc>
        <w:tc>
          <w:tcPr>
            <w:tcW w:type="dxa" w:w="1337"/>
            <w:shd w:val="clear" w:color="auto" w:fill="F5F5F5"/>
          </w:tcPr>
          <w:p>
            <w:r>
              <w:rPr>
                <w:rFonts w:ascii="Garamond" w:hAnsi="Garamond"/>
                <w:b w:val="0"/>
                <w:i w:val="0"/>
                <w:color w:val="1A1A1A"/>
                <w:sz w:val="18"/>
              </w:rPr>
              <w:t>10 months</w:t>
            </w:r>
          </w:p>
        </w:tc>
        <w:tc>
          <w:tcPr>
            <w:tcW w:type="dxa" w:w="1337"/>
            <w:shd w:val="clear" w:color="auto" w:fill="F5F5F5"/>
          </w:tcPr>
          <w:p>
            <w:r>
              <w:rPr>
                <w:rFonts w:ascii="Garamond" w:hAnsi="Garamond"/>
                <w:b w:val="0"/>
                <w:i w:val="0"/>
                <w:color w:val="1A1A1A"/>
                <w:sz w:val="18"/>
              </w:rPr>
              <w:t>Medium</w:t>
            </w:r>
          </w:p>
        </w:tc>
      </w:tr>
      <w:tr>
        <w:tc>
          <w:tcPr>
            <w:tcW w:type="dxa" w:w="1337"/>
            <w:shd w:val="clear" w:color="auto" w:fill="FFFFFF"/>
          </w:tcPr>
          <w:p>
            <w:r>
              <w:rPr>
                <w:rFonts w:ascii="Garamond" w:hAnsi="Garamond"/>
                <w:b w:val="0"/>
                <w:i w:val="0"/>
                <w:color w:val="1A1A1A"/>
                <w:sz w:val="18"/>
              </w:rPr>
              <w:t>Partner (Custom SaaS)</w:t>
            </w:r>
          </w:p>
        </w:tc>
        <w:tc>
          <w:tcPr>
            <w:tcW w:type="dxa" w:w="1337"/>
            <w:shd w:val="clear" w:color="auto" w:fill="FFFFFF"/>
          </w:tcPr>
          <w:p>
            <w:r>
              <w:rPr>
                <w:rFonts w:ascii="Garamond" w:hAnsi="Garamond"/>
                <w:b w:val="0"/>
                <w:i w:val="0"/>
                <w:color w:val="1A1A1A"/>
                <w:sz w:val="18"/>
              </w:rPr>
              <w:t>Partner with Loyalty Juggernaut (hospitality-focused SaaS)</w:t>
            </w:r>
          </w:p>
        </w:tc>
        <w:tc>
          <w:tcPr>
            <w:tcW w:type="dxa" w:w="1337"/>
            <w:shd w:val="clear" w:color="auto" w:fill="FFFFFF"/>
          </w:tcPr>
          <w:p>
            <w:r>
              <w:rPr>
                <w:rFonts w:ascii="Garamond" w:hAnsi="Garamond"/>
                <w:b w:val="0"/>
                <w:i w:val="0"/>
                <w:color w:val="1A1A1A"/>
                <w:sz w:val="18"/>
              </w:rPr>
              <w:t>Hospitality expertise; fast time-to-value; modern mobile app included</w:t>
            </w:r>
          </w:p>
        </w:tc>
        <w:tc>
          <w:tcPr>
            <w:tcW w:type="dxa" w:w="1337"/>
            <w:shd w:val="clear" w:color="auto" w:fill="FFFFFF"/>
          </w:tcPr>
          <w:p>
            <w:r>
              <w:rPr>
                <w:rFonts w:ascii="Garamond" w:hAnsi="Garamond"/>
                <w:b w:val="0"/>
                <w:i w:val="0"/>
                <w:color w:val="1A1A1A"/>
                <w:sz w:val="18"/>
              </w:rPr>
              <w:t>Vendor dependency; less customization; $2.8M annual license</w:t>
            </w:r>
          </w:p>
        </w:tc>
        <w:tc>
          <w:tcPr>
            <w:tcW w:type="dxa" w:w="1337"/>
            <w:shd w:val="clear" w:color="auto" w:fill="FFFFFF"/>
          </w:tcPr>
          <w:p>
            <w:r>
              <w:rPr>
                <w:rFonts w:ascii="Garamond" w:hAnsi="Garamond"/>
                <w:b w:val="0"/>
                <w:i w:val="0"/>
                <w:color w:val="1A1A1A"/>
                <w:sz w:val="18"/>
              </w:rPr>
              <w:t>$12.8M (5-year TCO)</w:t>
            </w:r>
          </w:p>
        </w:tc>
        <w:tc>
          <w:tcPr>
            <w:tcW w:type="dxa" w:w="1337"/>
            <w:shd w:val="clear" w:color="auto" w:fill="FFFFFF"/>
          </w:tcPr>
          <w:p>
            <w:r>
              <w:rPr>
                <w:rFonts w:ascii="Garamond" w:hAnsi="Garamond"/>
                <w:b w:val="0"/>
                <w:i w:val="0"/>
                <w:color w:val="1A1A1A"/>
                <w:sz w:val="18"/>
              </w:rPr>
              <w:t>6 months</w:t>
            </w:r>
          </w:p>
        </w:tc>
        <w:tc>
          <w:tcPr>
            <w:tcW w:type="dxa" w:w="1337"/>
            <w:shd w:val="clear" w:color="auto" w:fill="FFFFFF"/>
          </w:tcPr>
          <w:p>
            <w:r>
              <w:rPr>
                <w:rFonts w:ascii="Garamond" w:hAnsi="Garamond"/>
                <w:b w:val="0"/>
                <w:i w:val="0"/>
                <w:color w:val="1A1A1A"/>
                <w:sz w:val="18"/>
              </w:rPr>
              <w:t>Low-Medium -- vendor viability risk</w:t>
            </w:r>
          </w:p>
        </w:tc>
      </w:tr>
    </w:tbl>
    <w:p>
      <w:pPr>
        <w:spacing w:before="0" w:after="120"/>
      </w:pPr>
    </w:p>
    <w:p>
      <w:pPr>
        <w:spacing w:before="160" w:after="80"/>
      </w:pPr>
      <w:r>
        <w:rPr>
          <w:rFonts w:ascii="Garamond" w:hAnsi="Garamond"/>
          <w:b/>
          <w:i w:val="0"/>
          <w:color w:val="1A1A2E"/>
          <w:sz w:val="24"/>
        </w:rPr>
        <w:t>Recommended Approach</w:t>
      </w:r>
    </w:p>
    <w:p>
      <w:pPr>
        <w:spacing w:before="40" w:after="40"/>
        <w:pBdr>
          <w:bottom w:val="single" w:sz="8" w:space="1" w:color="6B6B6B"/>
        </w:pBdr>
      </w:pPr>
    </w:p>
    <w:p>
      <w:pPr>
        <w:spacing w:before="20" w:after="80"/>
      </w:pPr>
      <w:r>
        <w:rPr>
          <w:rFonts w:ascii="Garamond" w:hAnsi="Garamond"/>
          <w:b w:val="0"/>
          <w:i w:val="0"/>
          <w:color w:val="1A1A1A"/>
          <w:sz w:val="20"/>
        </w:rPr>
        <w:t>The evaluation team recommends the Buy (Salesforce Loyalty Management) option. This recommendation reflects: (1) Wynn already has Salesforce as the primary CRM platform, eliminating the largest integration complexity; (2) the 8-month timeline is the second fastest and avoids the execution risk of a full internal build; (3) 5-year TCO of $11.8M is the second lowest; and (4) Salesforce's stability and roadmap investment significantly reduces vendor risk compared to Oracle CrowdTwist's uncertain post-acquisition trajectory. The Loyalty Juggernaut partner option remains viable as a contingency if Salesforce Loyalty Management fails to meet the casino-specific requirements in the proof of concept phase.</w:t>
      </w:r>
    </w:p>
    <w:p>
      <w:pPr>
        <w:spacing w:before="160" w:after="80"/>
      </w:pPr>
      <w:r>
        <w:rPr>
          <w:rFonts w:ascii="Garamond" w:hAnsi="Garamond"/>
          <w:b/>
          <w:i w:val="0"/>
          <w:color w:val="1A1A2E"/>
          <w:sz w:val="24"/>
        </w:rPr>
        <w:t>Financial Model</w:t>
      </w:r>
    </w:p>
    <w:p>
      <w:pPr>
        <w:spacing w:before="40" w:after="40"/>
        <w:pBdr>
          <w:bottom w:val="single" w:sz="8" w:space="1" w:color="6B6B6B"/>
        </w:pBdr>
      </w:pP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A1A2E"/>
          </w:tcPr>
          <w:p>
            <w:pPr>
              <w:jc w:val="center"/>
            </w:pPr>
            <w:r>
              <w:rPr>
                <w:rFonts w:ascii="Garamond" w:hAnsi="Garamond"/>
                <w:b/>
                <w:i w:val="0"/>
                <w:color w:val="FFFFFF"/>
                <w:sz w:val="18"/>
              </w:rPr>
              <w:t>Cost / Benefit Item</w:t>
            </w:r>
          </w:p>
        </w:tc>
        <w:tc>
          <w:tcPr>
            <w:tcW w:type="dxa" w:w="1560"/>
            <w:shd w:val="clear" w:color="auto" w:fill="1A1A2E"/>
          </w:tcPr>
          <w:p>
            <w:pPr>
              <w:jc w:val="center"/>
            </w:pPr>
            <w:r>
              <w:rPr>
                <w:rFonts w:ascii="Garamond" w:hAnsi="Garamond"/>
                <w:b/>
                <w:i w:val="0"/>
                <w:color w:val="FFFFFF"/>
                <w:sz w:val="18"/>
              </w:rPr>
              <w:t>Year 1</w:t>
            </w:r>
          </w:p>
        </w:tc>
        <w:tc>
          <w:tcPr>
            <w:tcW w:type="dxa" w:w="1560"/>
            <w:shd w:val="clear" w:color="auto" w:fill="1A1A2E"/>
          </w:tcPr>
          <w:p>
            <w:pPr>
              <w:jc w:val="center"/>
            </w:pPr>
            <w:r>
              <w:rPr>
                <w:rFonts w:ascii="Garamond" w:hAnsi="Garamond"/>
                <w:b/>
                <w:i w:val="0"/>
                <w:color w:val="FFFFFF"/>
                <w:sz w:val="18"/>
              </w:rPr>
              <w:t>Year 2</w:t>
            </w:r>
          </w:p>
        </w:tc>
        <w:tc>
          <w:tcPr>
            <w:tcW w:type="dxa" w:w="1560"/>
            <w:shd w:val="clear" w:color="auto" w:fill="1A1A2E"/>
          </w:tcPr>
          <w:p>
            <w:pPr>
              <w:jc w:val="center"/>
            </w:pPr>
            <w:r>
              <w:rPr>
                <w:rFonts w:ascii="Garamond" w:hAnsi="Garamond"/>
                <w:b/>
                <w:i w:val="0"/>
                <w:color w:val="FFFFFF"/>
                <w:sz w:val="18"/>
              </w:rPr>
              <w:t>Year 3</w:t>
            </w:r>
          </w:p>
        </w:tc>
        <w:tc>
          <w:tcPr>
            <w:tcW w:type="dxa" w:w="1560"/>
            <w:shd w:val="clear" w:color="auto" w:fill="1A1A2E"/>
          </w:tcPr>
          <w:p>
            <w:pPr>
              <w:jc w:val="center"/>
            </w:pPr>
            <w:r>
              <w:rPr>
                <w:rFonts w:ascii="Garamond" w:hAnsi="Garamond"/>
                <w:b/>
                <w:i w:val="0"/>
                <w:color w:val="FFFFFF"/>
                <w:sz w:val="18"/>
              </w:rPr>
              <w:t>Year 4</w:t>
            </w:r>
          </w:p>
        </w:tc>
        <w:tc>
          <w:tcPr>
            <w:tcW w:type="dxa" w:w="1560"/>
            <w:shd w:val="clear" w:color="auto" w:fill="1A1A2E"/>
          </w:tcPr>
          <w:p>
            <w:pPr>
              <w:jc w:val="center"/>
            </w:pPr>
            <w:r>
              <w:rPr>
                <w:rFonts w:ascii="Garamond" w:hAnsi="Garamond"/>
                <w:b/>
                <w:i w:val="0"/>
                <w:color w:val="FFFFFF"/>
                <w:sz w:val="18"/>
              </w:rPr>
              <w:t>Year 5</w:t>
            </w:r>
          </w:p>
        </w:tc>
      </w:tr>
      <w:tr>
        <w:tc>
          <w:tcPr>
            <w:tcW w:type="dxa" w:w="1560"/>
            <w:shd w:val="clear" w:color="auto" w:fill="F5F5F5"/>
          </w:tcPr>
          <w:p>
            <w:r>
              <w:rPr>
                <w:rFonts w:ascii="Garamond" w:hAnsi="Garamond"/>
                <w:b w:val="0"/>
                <w:i w:val="0"/>
                <w:color w:val="1A1A1A"/>
                <w:sz w:val="18"/>
              </w:rPr>
              <w:t>Implementation Cost ($M)</w:t>
            </w:r>
          </w:p>
        </w:tc>
        <w:tc>
          <w:tcPr>
            <w:tcW w:type="dxa" w:w="1560"/>
            <w:shd w:val="clear" w:color="auto" w:fill="F5F5F5"/>
          </w:tcPr>
          <w:p>
            <w:r>
              <w:rPr>
                <w:rFonts w:ascii="Garamond" w:hAnsi="Garamond"/>
                <w:b w:val="0"/>
                <w:i w:val="0"/>
                <w:color w:val="1A1A1A"/>
                <w:sz w:val="18"/>
              </w:rPr>
              <w:t>7.4</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w:t>
            </w:r>
          </w:p>
        </w:tc>
      </w:tr>
      <w:tr>
        <w:tc>
          <w:tcPr>
            <w:tcW w:type="dxa" w:w="1560"/>
            <w:shd w:val="clear" w:color="auto" w:fill="FFFFFF"/>
          </w:tcPr>
          <w:p>
            <w:r>
              <w:rPr>
                <w:rFonts w:ascii="Garamond" w:hAnsi="Garamond"/>
                <w:b w:val="0"/>
                <w:i w:val="0"/>
                <w:color w:val="1A1A1A"/>
                <w:sz w:val="18"/>
              </w:rPr>
              <w:t>Annual License ($M)</w:t>
            </w:r>
          </w:p>
        </w:tc>
        <w:tc>
          <w:tcPr>
            <w:tcW w:type="dxa" w:w="1560"/>
            <w:shd w:val="clear" w:color="auto" w:fill="FFFFFF"/>
          </w:tcPr>
          <w:p>
            <w:r>
              <w:rPr>
                <w:rFonts w:ascii="Garamond" w:hAnsi="Garamond"/>
                <w:b w:val="0"/>
                <w:i w:val="0"/>
                <w:color w:val="1A1A1A"/>
                <w:sz w:val="18"/>
              </w:rPr>
              <w:t>4.1</w:t>
            </w:r>
          </w:p>
        </w:tc>
        <w:tc>
          <w:tcPr>
            <w:tcW w:type="dxa" w:w="1560"/>
            <w:shd w:val="clear" w:color="auto" w:fill="FFFFFF"/>
          </w:tcPr>
          <w:p>
            <w:r>
              <w:rPr>
                <w:rFonts w:ascii="Garamond" w:hAnsi="Garamond"/>
                <w:b w:val="0"/>
                <w:i w:val="0"/>
                <w:color w:val="1A1A1A"/>
                <w:sz w:val="18"/>
              </w:rPr>
              <w:t>4.1</w:t>
            </w:r>
          </w:p>
        </w:tc>
        <w:tc>
          <w:tcPr>
            <w:tcW w:type="dxa" w:w="1560"/>
            <w:shd w:val="clear" w:color="auto" w:fill="FFFFFF"/>
          </w:tcPr>
          <w:p>
            <w:r>
              <w:rPr>
                <w:rFonts w:ascii="Garamond" w:hAnsi="Garamond"/>
                <w:b w:val="0"/>
                <w:i w:val="0"/>
                <w:color w:val="1A1A1A"/>
                <w:sz w:val="18"/>
              </w:rPr>
              <w:t>4.1</w:t>
            </w:r>
          </w:p>
        </w:tc>
        <w:tc>
          <w:tcPr>
            <w:tcW w:type="dxa" w:w="1560"/>
            <w:shd w:val="clear" w:color="auto" w:fill="FFFFFF"/>
          </w:tcPr>
          <w:p>
            <w:r>
              <w:rPr>
                <w:rFonts w:ascii="Garamond" w:hAnsi="Garamond"/>
                <w:b w:val="0"/>
                <w:i w:val="0"/>
                <w:color w:val="1A1A1A"/>
                <w:sz w:val="18"/>
              </w:rPr>
              <w:t>4.1</w:t>
            </w:r>
          </w:p>
        </w:tc>
        <w:tc>
          <w:tcPr>
            <w:tcW w:type="dxa" w:w="1560"/>
            <w:shd w:val="clear" w:color="auto" w:fill="FFFFFF"/>
          </w:tcPr>
          <w:p>
            <w:r>
              <w:rPr>
                <w:rFonts w:ascii="Garamond" w:hAnsi="Garamond"/>
                <w:b w:val="0"/>
                <w:i w:val="0"/>
                <w:color w:val="1A1A1A"/>
                <w:sz w:val="18"/>
              </w:rPr>
              <w:t>4.1</w:t>
            </w:r>
          </w:p>
        </w:tc>
      </w:tr>
      <w:tr>
        <w:tc>
          <w:tcPr>
            <w:tcW w:type="dxa" w:w="1560"/>
            <w:shd w:val="clear" w:color="auto" w:fill="F5F5F5"/>
          </w:tcPr>
          <w:p>
            <w:r>
              <w:rPr>
                <w:rFonts w:ascii="Garamond" w:hAnsi="Garamond"/>
                <w:b w:val="0"/>
                <w:i w:val="0"/>
                <w:color w:val="1A1A1A"/>
                <w:sz w:val="18"/>
              </w:rPr>
              <w:t>Maintenance &amp; Support ($M)</w:t>
            </w:r>
          </w:p>
        </w:tc>
        <w:tc>
          <w:tcPr>
            <w:tcW w:type="dxa" w:w="1560"/>
            <w:shd w:val="clear" w:color="auto" w:fill="F5F5F5"/>
          </w:tcPr>
          <w:p>
            <w:r>
              <w:rPr>
                <w:rFonts w:ascii="Garamond" w:hAnsi="Garamond"/>
                <w:b w:val="0"/>
                <w:i w:val="0"/>
                <w:color w:val="1A1A1A"/>
                <w:sz w:val="18"/>
              </w:rPr>
              <w:t>0.6</w:t>
            </w:r>
          </w:p>
        </w:tc>
        <w:tc>
          <w:tcPr>
            <w:tcW w:type="dxa" w:w="1560"/>
            <w:shd w:val="clear" w:color="auto" w:fill="F5F5F5"/>
          </w:tcPr>
          <w:p>
            <w:r>
              <w:rPr>
                <w:rFonts w:ascii="Garamond" w:hAnsi="Garamond"/>
                <w:b w:val="0"/>
                <w:i w:val="0"/>
                <w:color w:val="1A1A1A"/>
                <w:sz w:val="18"/>
              </w:rPr>
              <w:t>0.6</w:t>
            </w:r>
          </w:p>
        </w:tc>
        <w:tc>
          <w:tcPr>
            <w:tcW w:type="dxa" w:w="1560"/>
            <w:shd w:val="clear" w:color="auto" w:fill="F5F5F5"/>
          </w:tcPr>
          <w:p>
            <w:r>
              <w:rPr>
                <w:rFonts w:ascii="Garamond" w:hAnsi="Garamond"/>
                <w:b w:val="0"/>
                <w:i w:val="0"/>
                <w:color w:val="1A1A1A"/>
                <w:sz w:val="18"/>
              </w:rPr>
              <w:t>0.6</w:t>
            </w:r>
          </w:p>
        </w:tc>
        <w:tc>
          <w:tcPr>
            <w:tcW w:type="dxa" w:w="1560"/>
            <w:shd w:val="clear" w:color="auto" w:fill="F5F5F5"/>
          </w:tcPr>
          <w:p>
            <w:r>
              <w:rPr>
                <w:rFonts w:ascii="Garamond" w:hAnsi="Garamond"/>
                <w:b w:val="0"/>
                <w:i w:val="0"/>
                <w:color w:val="1A1A1A"/>
                <w:sz w:val="18"/>
              </w:rPr>
              <w:t>0.6</w:t>
            </w:r>
          </w:p>
        </w:tc>
        <w:tc>
          <w:tcPr>
            <w:tcW w:type="dxa" w:w="1560"/>
            <w:shd w:val="clear" w:color="auto" w:fill="F5F5F5"/>
          </w:tcPr>
          <w:p>
            <w:r>
              <w:rPr>
                <w:rFonts w:ascii="Garamond" w:hAnsi="Garamond"/>
                <w:b w:val="0"/>
                <w:i w:val="0"/>
                <w:color w:val="1A1A1A"/>
                <w:sz w:val="18"/>
              </w:rPr>
              <w:t>0.6</w:t>
            </w:r>
          </w:p>
        </w:tc>
      </w:tr>
      <w:tr>
        <w:tc>
          <w:tcPr>
            <w:tcW w:type="dxa" w:w="1560"/>
            <w:shd w:val="clear" w:color="auto" w:fill="FFFFFF"/>
          </w:tcPr>
          <w:p>
            <w:r>
              <w:rPr>
                <w:rFonts w:ascii="Garamond" w:hAnsi="Garamond"/>
                <w:b w:val="0"/>
                <w:i w:val="0"/>
                <w:color w:val="1A1A1A"/>
                <w:sz w:val="18"/>
              </w:rPr>
              <w:t>Current Platform Cost Avoided ($M)</w:t>
            </w:r>
          </w:p>
        </w:tc>
        <w:tc>
          <w:tcPr>
            <w:tcW w:type="dxa" w:w="1560"/>
            <w:shd w:val="clear" w:color="auto" w:fill="FFFFFF"/>
          </w:tcPr>
          <w:p>
            <w:r>
              <w:rPr>
                <w:rFonts w:ascii="Garamond" w:hAnsi="Garamond"/>
                <w:b w:val="0"/>
                <w:i w:val="0"/>
                <w:color w:val="1A1A1A"/>
                <w:sz w:val="18"/>
              </w:rPr>
              <w:t>---</w:t>
            </w:r>
          </w:p>
        </w:tc>
        <w:tc>
          <w:tcPr>
            <w:tcW w:type="dxa" w:w="1560"/>
            <w:shd w:val="clear" w:color="auto" w:fill="FFFFFF"/>
          </w:tcPr>
          <w:p>
            <w:r>
              <w:rPr>
                <w:rFonts w:ascii="Garamond" w:hAnsi="Garamond"/>
                <w:b w:val="0"/>
                <w:i w:val="0"/>
                <w:color w:val="1A1A1A"/>
                <w:sz w:val="18"/>
              </w:rPr>
              <w:t>0.8</w:t>
            </w:r>
          </w:p>
        </w:tc>
        <w:tc>
          <w:tcPr>
            <w:tcW w:type="dxa" w:w="1560"/>
            <w:shd w:val="clear" w:color="auto" w:fill="FFFFFF"/>
          </w:tcPr>
          <w:p>
            <w:r>
              <w:rPr>
                <w:rFonts w:ascii="Garamond" w:hAnsi="Garamond"/>
                <w:b w:val="0"/>
                <w:i w:val="0"/>
                <w:color w:val="1A1A1A"/>
                <w:sz w:val="18"/>
              </w:rPr>
              <w:t>0.8</w:t>
            </w:r>
          </w:p>
        </w:tc>
        <w:tc>
          <w:tcPr>
            <w:tcW w:type="dxa" w:w="1560"/>
            <w:shd w:val="clear" w:color="auto" w:fill="FFFFFF"/>
          </w:tcPr>
          <w:p>
            <w:r>
              <w:rPr>
                <w:rFonts w:ascii="Garamond" w:hAnsi="Garamond"/>
                <w:b w:val="0"/>
                <w:i w:val="0"/>
                <w:color w:val="1A1A1A"/>
                <w:sz w:val="18"/>
              </w:rPr>
              <w:t>0.8</w:t>
            </w:r>
          </w:p>
        </w:tc>
        <w:tc>
          <w:tcPr>
            <w:tcW w:type="dxa" w:w="1560"/>
            <w:shd w:val="clear" w:color="auto" w:fill="FFFFFF"/>
          </w:tcPr>
          <w:p>
            <w:r>
              <w:rPr>
                <w:rFonts w:ascii="Garamond" w:hAnsi="Garamond"/>
                <w:b w:val="0"/>
                <w:i w:val="0"/>
                <w:color w:val="1A1A1A"/>
                <w:sz w:val="18"/>
              </w:rPr>
              <w:t>0.8</w:t>
            </w:r>
          </w:p>
        </w:tc>
      </w:tr>
      <w:tr>
        <w:tc>
          <w:tcPr>
            <w:tcW w:type="dxa" w:w="1560"/>
            <w:shd w:val="clear" w:color="auto" w:fill="F5F5F5"/>
          </w:tcPr>
          <w:p>
            <w:r>
              <w:rPr>
                <w:rFonts w:ascii="Garamond" w:hAnsi="Garamond"/>
                <w:b w:val="0"/>
                <w:i w:val="0"/>
                <w:color w:val="1A1A1A"/>
                <w:sz w:val="18"/>
              </w:rPr>
              <w:t>Incremental Loyalty Revenue ($M)</w:t>
            </w:r>
          </w:p>
        </w:tc>
        <w:tc>
          <w:tcPr>
            <w:tcW w:type="dxa" w:w="1560"/>
            <w:shd w:val="clear" w:color="auto" w:fill="F5F5F5"/>
          </w:tcPr>
          <w:p>
            <w:r>
              <w:rPr>
                <w:rFonts w:ascii="Garamond" w:hAnsi="Garamond"/>
                <w:b w:val="0"/>
                <w:i w:val="0"/>
                <w:color w:val="1A1A1A"/>
                <w:sz w:val="18"/>
              </w:rPr>
              <w:t>---</w:t>
            </w:r>
          </w:p>
        </w:tc>
        <w:tc>
          <w:tcPr>
            <w:tcW w:type="dxa" w:w="1560"/>
            <w:shd w:val="clear" w:color="auto" w:fill="F5F5F5"/>
          </w:tcPr>
          <w:p>
            <w:r>
              <w:rPr>
                <w:rFonts w:ascii="Garamond" w:hAnsi="Garamond"/>
                <w:b w:val="0"/>
                <w:i w:val="0"/>
                <w:color w:val="1A1A1A"/>
                <w:sz w:val="18"/>
              </w:rPr>
              <w:t>2.4</w:t>
            </w:r>
          </w:p>
        </w:tc>
        <w:tc>
          <w:tcPr>
            <w:tcW w:type="dxa" w:w="1560"/>
            <w:shd w:val="clear" w:color="auto" w:fill="F5F5F5"/>
          </w:tcPr>
          <w:p>
            <w:r>
              <w:rPr>
                <w:rFonts w:ascii="Garamond" w:hAnsi="Garamond"/>
                <w:b w:val="0"/>
                <w:i w:val="0"/>
                <w:color w:val="1A1A1A"/>
                <w:sz w:val="18"/>
              </w:rPr>
              <w:t>4.8</w:t>
            </w:r>
          </w:p>
        </w:tc>
        <w:tc>
          <w:tcPr>
            <w:tcW w:type="dxa" w:w="1560"/>
            <w:shd w:val="clear" w:color="auto" w:fill="F5F5F5"/>
          </w:tcPr>
          <w:p>
            <w:r>
              <w:rPr>
                <w:rFonts w:ascii="Garamond" w:hAnsi="Garamond"/>
                <w:b w:val="0"/>
                <w:i w:val="0"/>
                <w:color w:val="1A1A1A"/>
                <w:sz w:val="18"/>
              </w:rPr>
              <w:t>5.6</w:t>
            </w:r>
          </w:p>
        </w:tc>
        <w:tc>
          <w:tcPr>
            <w:tcW w:type="dxa" w:w="1560"/>
            <w:shd w:val="clear" w:color="auto" w:fill="F5F5F5"/>
          </w:tcPr>
          <w:p>
            <w:r>
              <w:rPr>
                <w:rFonts w:ascii="Garamond" w:hAnsi="Garamond"/>
                <w:b w:val="0"/>
                <w:i w:val="0"/>
                <w:color w:val="1A1A1A"/>
                <w:sz w:val="18"/>
              </w:rPr>
              <w:t>6.1</w:t>
            </w:r>
          </w:p>
        </w:tc>
      </w:tr>
      <w:tr>
        <w:tc>
          <w:tcPr>
            <w:tcW w:type="dxa" w:w="1560"/>
            <w:shd w:val="clear" w:color="auto" w:fill="FFFFFF"/>
          </w:tcPr>
          <w:p>
            <w:r>
              <w:rPr>
                <w:rFonts w:ascii="Garamond" w:hAnsi="Garamond"/>
                <w:b w:val="0"/>
                <w:i w:val="0"/>
                <w:color w:val="1A1A1A"/>
                <w:sz w:val="18"/>
              </w:rPr>
              <w:t>Net Annual Cash Impact ($M)</w:t>
            </w:r>
          </w:p>
        </w:tc>
        <w:tc>
          <w:tcPr>
            <w:tcW w:type="dxa" w:w="1560"/>
            <w:shd w:val="clear" w:color="auto" w:fill="FFFFFF"/>
          </w:tcPr>
          <w:p>
            <w:r>
              <w:rPr>
                <w:rFonts w:ascii="Garamond" w:hAnsi="Garamond"/>
                <w:b w:val="0"/>
                <w:i w:val="0"/>
                <w:color w:val="1A1A1A"/>
                <w:sz w:val="18"/>
              </w:rPr>
              <w:t>(12.1)</w:t>
            </w:r>
          </w:p>
        </w:tc>
        <w:tc>
          <w:tcPr>
            <w:tcW w:type="dxa" w:w="1560"/>
            <w:shd w:val="clear" w:color="auto" w:fill="FFFFFF"/>
          </w:tcPr>
          <w:p>
            <w:r>
              <w:rPr>
                <w:rFonts w:ascii="Garamond" w:hAnsi="Garamond"/>
                <w:b w:val="0"/>
                <w:i w:val="0"/>
                <w:color w:val="1A1A1A"/>
                <w:sz w:val="18"/>
              </w:rPr>
              <w:t>(1.5)</w:t>
            </w:r>
          </w:p>
        </w:tc>
        <w:tc>
          <w:tcPr>
            <w:tcW w:type="dxa" w:w="1560"/>
            <w:shd w:val="clear" w:color="auto" w:fill="FFFFFF"/>
          </w:tcPr>
          <w:p>
            <w:r>
              <w:rPr>
                <w:rFonts w:ascii="Garamond" w:hAnsi="Garamond"/>
                <w:b w:val="0"/>
                <w:i w:val="0"/>
                <w:color w:val="1A1A1A"/>
                <w:sz w:val="18"/>
              </w:rPr>
              <w:t>+0.9</w:t>
            </w:r>
          </w:p>
        </w:tc>
        <w:tc>
          <w:tcPr>
            <w:tcW w:type="dxa" w:w="1560"/>
            <w:shd w:val="clear" w:color="auto" w:fill="FFFFFF"/>
          </w:tcPr>
          <w:p>
            <w:r>
              <w:rPr>
                <w:rFonts w:ascii="Garamond" w:hAnsi="Garamond"/>
                <w:b w:val="0"/>
                <w:i w:val="0"/>
                <w:color w:val="1A1A1A"/>
                <w:sz w:val="18"/>
              </w:rPr>
              <w:t>+1.7</w:t>
            </w:r>
          </w:p>
        </w:tc>
        <w:tc>
          <w:tcPr>
            <w:tcW w:type="dxa" w:w="1560"/>
            <w:shd w:val="clear" w:color="auto" w:fill="FFFFFF"/>
          </w:tcPr>
          <w:p>
            <w:r>
              <w:rPr>
                <w:rFonts w:ascii="Garamond" w:hAnsi="Garamond"/>
                <w:b w:val="0"/>
                <w:i w:val="0"/>
                <w:color w:val="1A1A1A"/>
                <w:sz w:val="18"/>
              </w:rPr>
              <w:t>+2.2</w:t>
            </w:r>
          </w:p>
        </w:tc>
      </w:tr>
      <w:tr>
        <w:tc>
          <w:tcPr>
            <w:tcW w:type="dxa" w:w="1560"/>
            <w:shd w:val="clear" w:color="auto" w:fill="F5F5F5"/>
          </w:tcPr>
          <w:p>
            <w:r>
              <w:rPr>
                <w:rFonts w:ascii="Garamond" w:hAnsi="Garamond"/>
                <w:b w:val="0"/>
                <w:i w:val="0"/>
                <w:color w:val="1A1A1A"/>
                <w:sz w:val="18"/>
              </w:rPr>
              <w:t>Cumulative NPV ($M)</w:t>
            </w:r>
          </w:p>
        </w:tc>
        <w:tc>
          <w:tcPr>
            <w:tcW w:type="dxa" w:w="1560"/>
            <w:shd w:val="clear" w:color="auto" w:fill="F5F5F5"/>
          </w:tcPr>
          <w:p>
            <w:r>
              <w:rPr>
                <w:rFonts w:ascii="Garamond" w:hAnsi="Garamond"/>
                <w:b w:val="0"/>
                <w:i w:val="0"/>
                <w:color w:val="1A1A1A"/>
                <w:sz w:val="18"/>
              </w:rPr>
              <w:t>(12.1)</w:t>
            </w:r>
          </w:p>
        </w:tc>
        <w:tc>
          <w:tcPr>
            <w:tcW w:type="dxa" w:w="1560"/>
            <w:shd w:val="clear" w:color="auto" w:fill="F5F5F5"/>
          </w:tcPr>
          <w:p>
            <w:r>
              <w:rPr>
                <w:rFonts w:ascii="Garamond" w:hAnsi="Garamond"/>
                <w:b w:val="0"/>
                <w:i w:val="0"/>
                <w:color w:val="1A1A1A"/>
                <w:sz w:val="18"/>
              </w:rPr>
              <w:t>(13.4)</w:t>
            </w:r>
          </w:p>
        </w:tc>
        <w:tc>
          <w:tcPr>
            <w:tcW w:type="dxa" w:w="1560"/>
            <w:shd w:val="clear" w:color="auto" w:fill="F5F5F5"/>
          </w:tcPr>
          <w:p>
            <w:r>
              <w:rPr>
                <w:rFonts w:ascii="Garamond" w:hAnsi="Garamond"/>
                <w:b w:val="0"/>
                <w:i w:val="0"/>
                <w:color w:val="1A1A1A"/>
                <w:sz w:val="18"/>
              </w:rPr>
              <w:t>(12.8)</w:t>
            </w:r>
          </w:p>
        </w:tc>
        <w:tc>
          <w:tcPr>
            <w:tcW w:type="dxa" w:w="1560"/>
            <w:shd w:val="clear" w:color="auto" w:fill="F5F5F5"/>
          </w:tcPr>
          <w:p>
            <w:r>
              <w:rPr>
                <w:rFonts w:ascii="Garamond" w:hAnsi="Garamond"/>
                <w:b w:val="0"/>
                <w:i w:val="0"/>
                <w:color w:val="1A1A1A"/>
                <w:sz w:val="18"/>
              </w:rPr>
              <w:t>(11.4)</w:t>
            </w:r>
          </w:p>
        </w:tc>
        <w:tc>
          <w:tcPr>
            <w:tcW w:type="dxa" w:w="1560"/>
            <w:shd w:val="clear" w:color="auto" w:fill="F5F5F5"/>
          </w:tcPr>
          <w:p>
            <w:r>
              <w:rPr>
                <w:rFonts w:ascii="Garamond" w:hAnsi="Garamond"/>
                <w:b w:val="0"/>
                <w:i w:val="0"/>
                <w:color w:val="1A1A1A"/>
                <w:sz w:val="18"/>
              </w:rPr>
              <w:t>(9.4)</w:t>
            </w:r>
          </w:p>
        </w:tc>
      </w:tr>
    </w:tbl>
    <w:p>
      <w:pPr>
        <w:spacing w:before="0" w:after="120"/>
      </w:pP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b w:val="0"/>
        <w:i/>
        <w:color w:val="6B6B6B"/>
        <w:sz w:val="15"/>
      </w:rPr>
      <w:t>Wynn Resorts, Limited  |  Strictly Confidential  |  01-tech-business-case-loyalty-platform.docx  |  Do not distribute without authorization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