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Technology Strategy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Build vs. Buy Decision Outcomes -- Historical Review FY2020-2024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FY2020-FY2024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Technology Strategy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Historical Build / Buy Decision Outcomes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Decision Name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Approach Chosen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Budget ($M)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Actual Cost ($M)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Delivered On Time?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ROI vs Projection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Lessons Learned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2020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Marketing Automation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CRM / Marketing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Buy (Salesforce Marketing Cloud)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1.8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2.1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(3 months late)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Below -- 62% of projected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Underestimated data migration complexity; Salesforce Marketing Cloud requires dedicated admin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2021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Mobile App (guest-facing)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Technology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Build (internal)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5.8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(8 months late)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Below -- 31% of projected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 store deployment and iOS/Android compatibility underestimated; should have been partner/buy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2021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Procurement Platform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Operations Technology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Buy (Coupa)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1.4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1.6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(1 week late)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At target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SaaS buy decisions with clear vendor track records perform well when implementation is managed tightly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HR &amp; Payroll System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HR Technology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Buy (Workday)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3.8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4.1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(2 months late)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At target (medium-term)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Workday implementations require dedicated internal project resource; do not depend entirely on SI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Custom Analytics Dashboard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Business Intelligence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Build (internal)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0.6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0.9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(4 months late)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Below -- 44% of projected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Analytics dashboards are poor candidates for custom builds; Tableau plugin would have been faster and cheaper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Host CRM Customization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CRM / Casino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Build (Salesforce custom)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1.1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(6 months late)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Below -- 28% of projected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Custom Salesforce development requires specialized expertise not available internally; should have used ISV partner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Cybersecurity SIEM Platform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Buy (Microsoft Sentinel)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0.8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0.8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At target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Well-scoped buy decisions for security tooling consistently perform on time and on budget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Digital Tipping Integration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Technology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Partner (Tip Network SaaS)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0.3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0.3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Above target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Partner SaaS for discrete guest-facing features is consistently the fastest and best-value approach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02-build-buy-decision-outcomes-fy2020-2024.docx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