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Engineering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Engineering Headcount Plan and Skills Gap Analysis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Planning Cycle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Engineering Headcount Plan and Skills Gap Analysis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Team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Current HC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Approved Adds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Priority Roles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Key Skills Needed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 Severity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 Fill Date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Platform Engineering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Platform Engineer (x2), DevOps Engineer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Kubernetes, Terraform, Azure DevOps, CI/CD pipeline design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&amp; Analytics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Data Engineer, ML Engineer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Python, dbt, Azure Data Factory, Databricks, LLM fine-tuning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2025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Technology (Mobile)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iOS Engineer, React Native Engineer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Swift, React Native, push notification infrastructure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Technology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Casino Systems Engineer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IGT Advantage API, casino protocol expertise, C# / .NET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 -- niche skills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 2025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Engineer, Cloud Security Architect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SIEM, Sentinel, Defender for Cloud, CSPM, penetration testing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2025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 Applications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Technical Architect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Apex, LWC, Salesforce Data Cloud, CPQ, integration patterns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&amp; Infrastructure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additional headcount approved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Meraki, Palo Alto, Azure networking, SD-WAN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Service Desk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Support Specialist (Boston)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ITSM, ServiceNow, hardware support, casino tech familiarity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2025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Critical Gaps Requiring Immediate Action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Data &amp; Analytics -- ML Engineer: Wynn has no in-house ML capability; personalization and revenue optimization initiatives in FY2025 plan require this skill immediately; recommend recruiting and using Toptal for interim capacity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Casino Technology -- Senior Casino Systems Engineer: IGT Advantage expertise is extremely rare; only 4-6 qualified engineers in the Las Vegas market; compensation offer may need to exceed band by 15-20% to be competitive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Cybersecurity -- Cloud Security Architect: Zero-trust ADR and NIST CSF remediation require this expertise; recommend using Deloitte Cyber retainer for 6 months while permanent hire is recruited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01-engineering-headcount-plan-fy2025.docx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