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val="clear" w:color="auto" w:fill="B89655"/>
          </w:tcPr>
          <w:p>
            <w:r/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98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9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/>
          <w:p>
            <w:pPr>
              <w:spacing w:before="0" w:after="20"/>
              <w:jc w:val="right"/>
            </w:pPr>
            <w:r>
              <w:rPr>
                <w:rFonts w:ascii="Garamond" w:hAnsi="Garamond"/>
                <w:b/>
                <w:i w:val="0"/>
                <w:color w:val="B89655"/>
                <w:sz w:val="18"/>
              </w:rPr>
              <w:t>WYNN RESORTS</w:t>
            </w:r>
          </w:p>
          <w:p>
            <w:pPr>
              <w:spacing w:before="0" w:after="40"/>
              <w:jc w:val="right"/>
            </w:pPr>
            <w:r>
              <w:rPr>
                <w:rFonts w:ascii="Garamond" w:hAnsi="Garamond"/>
                <w:b w:val="0"/>
                <w:i/>
                <w:color w:val="6B6B6B"/>
                <w:sz w:val="16"/>
              </w:rPr>
              <w:t>Office of the CTO | Engineering &amp; HR</w:t>
            </w:r>
          </w:p>
          <w:p>
            <w:pPr>
              <w:spacing w:before="0" w:after="0"/>
              <w:jc w:val="right"/>
            </w:pPr>
            <w:r>
              <w:rPr>
                <w:rFonts w:ascii="Garamond" w:hAnsi="Garamond"/>
                <w:b/>
                <w:i w:val="0"/>
                <w:color w:val="C0392B"/>
                <w:sz w:val="15"/>
              </w:rPr>
              <w:t>STRICTLY CONFIDENTIAL</w:t>
            </w:r>
          </w:p>
        </w:tc>
      </w:tr>
    </w:tbl>
    <w:p>
      <w:pPr>
        <w:spacing w:before="40" w:after="40"/>
        <w:pBdr>
          <w:bottom w:val="single" w:sz="16" w:space="1" w:color="B89655"/>
        </w:pBdr>
      </w:pPr>
    </w:p>
    <w:p>
      <w:pPr>
        <w:spacing w:before="0" w:after="60"/>
      </w:pPr>
    </w:p>
    <w:p>
      <w:pPr>
        <w:spacing w:before="0" w:after="80"/>
      </w:pPr>
      <w:r>
        <w:rPr>
          <w:rFonts w:ascii="Garamond" w:hAnsi="Garamond"/>
          <w:b/>
          <w:i w:val="0"/>
          <w:color w:val="6B6B6B"/>
          <w:sz w:val="18"/>
        </w:rPr>
        <w:t>INTERNAL AUDIT REPORT</w:t>
        <w:br/>
      </w:r>
      <w:r>
        <w:rPr>
          <w:rFonts w:ascii="Garamond" w:hAnsi="Garamond"/>
          <w:b/>
          <w:i w:val="0"/>
          <w:color w:val="1A1A2E"/>
          <w:sz w:val="36"/>
        </w:rPr>
        <w:t>Engineering Compensation Benchmarking Report -- 2025</w:t>
      </w:r>
    </w:p>
    <w:p>
      <w:pPr>
        <w:spacing w:before="40" w:after="40"/>
        <w:pBdr>
          <w:bottom w:val="single" w:sz="8" w:space="1" w:color="B89655"/>
        </w:pBdr>
      </w:pP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Source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 w:val="0"/>
                <w:i w:val="0"/>
                <w:color w:val="FFFFFF"/>
                <w:sz w:val="18"/>
              </w:rPr>
              <w:t>Radford/Aon, Levels.fyi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Date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January 2025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Scope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All engineering levels L3-L8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Garamond" w:hAnsi="Garamond"/>
          <w:b/>
          <w:i w:val="0"/>
          <w:color w:val="1A1A2E"/>
          <w:sz w:val="30"/>
        </w:rPr>
        <w:t>Engineering Compensation Benchmarking -- 2025</w:t>
      </w:r>
    </w:p>
    <w:p>
      <w:pPr>
        <w:spacing w:before="40" w:after="40"/>
        <w:pBdr>
          <w:bottom w:val="single" w:sz="16" w:space="1" w:color="B89655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Level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Wynn Base (Median)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Market P50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Market P75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Gap to P50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Gap to P75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Action Required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L3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Software Engineer I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$82K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$94K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$112K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(14.9%)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(36.6%)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Adjust band -- at risk of losing new grads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L4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Software Engineer II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$104K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$118K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$142K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(13.5%)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(36.5%)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Adjust band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L5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Senior Software Engineer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$138K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$152K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$184K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(10.2%)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(33.3%)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Adjust band -- retention risk for 4 engineers identified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L6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Staff Engineer / Tech Lead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$168K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$187K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$224K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(11.3%)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(33.3%)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Adjust band -- critical retention risk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L7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Principal Engineer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$198K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$224K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$268K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(13.0%)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(35.3%)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Adjust band -- 2 flight risks identified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L8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Distinguished Engineer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$238K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$276K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$332K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(16.0%)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(40.3%)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Immediate market adjustment required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Mgr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Engineering Manager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$182K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$196K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$232K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(7.7%)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(27.5%)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Review individually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Dir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Director of Engineering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$248K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$267K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$312K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(7.7%)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(25.8%)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Review individually</w:t>
            </w:r>
          </w:p>
        </w:tc>
      </w:tr>
    </w:tbl>
    <w:p>
      <w:pPr>
        <w:spacing w:before="0" w:after="120"/>
      </w:pPr>
    </w:p>
    <w:p>
      <w:pPr>
        <w:spacing w:before="160" w:after="80"/>
      </w:pPr>
      <w:r>
        <w:rPr>
          <w:rFonts w:ascii="Garamond" w:hAnsi="Garamond"/>
          <w:b/>
          <w:i w:val="0"/>
          <w:color w:val="1A1A2E"/>
          <w:sz w:val="24"/>
        </w:rPr>
        <w:t>Key Findings</w:t>
      </w:r>
    </w:p>
    <w:p>
      <w:pPr>
        <w:spacing w:before="40" w:after="40"/>
        <w:pBdr>
          <w:bottom w:val="single" w:sz="8" w:space="1" w:color="6B6B6B"/>
        </w:pBdr>
      </w:pP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Wynn engineering compensation is 10-16% below market P50 at all individual contributor levels; this creates active retention risk for our best performers who receive above-median market offers regularly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The gap to market P75 is 27-40% across all levels; for engineers considering FAANG or top-tier tech companies, Wynn cannot compete on base salary alone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Recommended immediate actions: market adjustment for all L5+ engineers in Q1 2025; equity/bonus enhancement for L6-L8 to partially offset base salary gap; total compensation narrative to be developed by VP HR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Total cost of bringing all engineers to P50: approximately $1.8M in annual base salary increases</w:t>
      </w:r>
    </w:p>
    <w:sectPr w:rsidR="00FC693F" w:rsidRPr="0006063C" w:rsidSect="00034616">
      <w:foot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b w:val="0"/>
        <w:i/>
        <w:color w:val="6B6B6B"/>
        <w:sz w:val="15"/>
      </w:rPr>
      <w:t>Wynn Resorts, Limited  |  Strictly Confidential  |  02-engineering-compensation-benchmarking-2025.docx  |  Do not distribute without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