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360"/>
            <w:shd w:val="clear" w:color="auto" w:fill="B89655"/>
          </w:tcPr>
          <w:p>
            <w:r/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54480" cy="6987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698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</w:tcPr>
          <w:p/>
          <w:p>
            <w:pPr>
              <w:spacing w:before="0" w:after="20"/>
              <w:jc w:val="right"/>
            </w:pPr>
            <w:r>
              <w:rPr>
                <w:rFonts w:ascii="Garamond" w:hAnsi="Garamond"/>
                <w:b/>
                <w:i w:val="0"/>
                <w:color w:val="B89655"/>
                <w:sz w:val="18"/>
              </w:rPr>
              <w:t>WYNN RESORTS</w:t>
            </w:r>
          </w:p>
          <w:p>
            <w:pPr>
              <w:spacing w:before="0" w:after="40"/>
              <w:jc w:val="right"/>
            </w:pPr>
            <w:r>
              <w:rPr>
                <w:rFonts w:ascii="Garamond" w:hAnsi="Garamond"/>
                <w:b w:val="0"/>
                <w:i/>
                <w:color w:val="6B6B6B"/>
                <w:sz w:val="16"/>
              </w:rPr>
              <w:t>Office of the CTO | Engineering</w:t>
            </w:r>
          </w:p>
          <w:p>
            <w:pPr>
              <w:spacing w:before="0" w:after="0"/>
              <w:jc w:val="right"/>
            </w:pPr>
            <w:r>
              <w:rPr>
                <w:rFonts w:ascii="Garamond" w:hAnsi="Garamond"/>
                <w:b/>
                <w:i w:val="0"/>
                <w:color w:val="C0392B"/>
                <w:sz w:val="15"/>
              </w:rPr>
              <w:t>STRICTLY CONFIDENTIAL</w:t>
            </w:r>
          </w:p>
        </w:tc>
      </w:tr>
    </w:tbl>
    <w:p>
      <w:pPr>
        <w:spacing w:before="40" w:after="40"/>
        <w:pBdr>
          <w:bottom w:val="single" w:sz="16" w:space="1" w:color="B89655"/>
        </w:pBdr>
      </w:pPr>
    </w:p>
    <w:p>
      <w:pPr>
        <w:spacing w:before="0" w:after="60"/>
      </w:pPr>
    </w:p>
    <w:p>
      <w:pPr>
        <w:spacing w:before="0" w:after="80"/>
      </w:pPr>
      <w:r>
        <w:rPr>
          <w:rFonts w:ascii="Garamond" w:hAnsi="Garamond"/>
          <w:b/>
          <w:i w:val="0"/>
          <w:color w:val="6B6B6B"/>
          <w:sz w:val="18"/>
        </w:rPr>
        <w:t>INTERNAL AUDIT REPORT</w:t>
        <w:br/>
      </w:r>
      <w:r>
        <w:rPr>
          <w:rFonts w:ascii="Garamond" w:hAnsi="Garamond"/>
          <w:b/>
          <w:i w:val="0"/>
          <w:color w:val="1A1A2E"/>
          <w:sz w:val="36"/>
        </w:rPr>
        <w:t>Engineering Team Attrition and Engagement Analysis -- FY2024</w:t>
      </w:r>
    </w:p>
    <w:p>
      <w:pPr>
        <w:spacing w:before="40" w:after="40"/>
        <w:pBdr>
          <w:bottom w:val="single" w:sz="8" w:space="1" w:color="B89655"/>
        </w:pBdr>
      </w:pPr>
    </w:p>
    <w:p>
      <w:pPr>
        <w:spacing w:before="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Period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 w:val="0"/>
                <w:i w:val="0"/>
                <w:color w:val="FFFFFF"/>
                <w:sz w:val="18"/>
              </w:rPr>
              <w:t>FY2024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Owner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Engineering &amp; VP HR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Date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January 2025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Garamond" w:hAnsi="Garamond"/>
          <w:b/>
          <w:i w:val="0"/>
          <w:color w:val="1A1A2E"/>
          <w:sz w:val="30"/>
        </w:rPr>
        <w:t>Quarterly Attrition and Engagement</w:t>
      </w:r>
    </w:p>
    <w:p>
      <w:pPr>
        <w:spacing w:before="40" w:after="40"/>
        <w:pBdr>
          <w:bottom w:val="single" w:sz="16" w:space="1" w:color="B89655"/>
        </w:pBdr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Quarter</w:t>
            </w:r>
          </w:p>
        </w:tc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Attrition Rate</w:t>
            </w:r>
          </w:p>
        </w:tc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Voluntary vs Involuntary</w:t>
            </w:r>
          </w:p>
        </w:tc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Top Exit Reasons</w:t>
            </w:r>
          </w:p>
        </w:tc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eNPS Score</w:t>
            </w:r>
          </w:p>
        </w:tc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Open Roles EOQ</w:t>
            </w:r>
          </w:p>
        </w:tc>
      </w:tr>
      <w:tr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Q1 2024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4.2%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 voluntary / 0 involuntary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Better compensation (3), career growth (1)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18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6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Q2 2024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6.1%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5 voluntary / 1 PIP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Better compensation (3), tech stack (1), management (1)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14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</w:t>
            </w:r>
          </w:p>
        </w:tc>
      </w:tr>
      <w:tr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Q3 2024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3.8%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 voluntary / 0 involuntary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Better compensation (2), remote work (1), career growth (1)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21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11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Q4 2024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7.4%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7 voluntary / 1 involuntary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Better compensation (4), career growth (2), culture (1)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16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16</w:t>
            </w:r>
          </w:p>
        </w:tc>
      </w:tr>
      <w:tr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FY2024 Total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21.5% annualized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20 voluntary / 2 involuntary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Better compensation (12/20), career growth (5/20), tech stack (2/20), other (1/20)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17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16</w:t>
            </w:r>
          </w:p>
        </w:tc>
      </w:tr>
    </w:tbl>
    <w:p>
      <w:pPr>
        <w:spacing w:before="0" w:after="120"/>
      </w:pPr>
    </w:p>
    <w:p>
      <w:pPr>
        <w:spacing w:before="160" w:after="80"/>
      </w:pPr>
      <w:r>
        <w:rPr>
          <w:rFonts w:ascii="Garamond" w:hAnsi="Garamond"/>
          <w:b/>
          <w:i w:val="0"/>
          <w:color w:val="1A1A2E"/>
          <w:sz w:val="24"/>
        </w:rPr>
        <w:t>Retention Risk Analysis</w:t>
      </w:r>
    </w:p>
    <w:p>
      <w:pPr>
        <w:spacing w:before="40" w:after="40"/>
        <w:pBdr>
          <w:bottom w:val="single" w:sz="8" w:space="1" w:color="6B6B6B"/>
        </w:pBdr>
      </w:pP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Compensation is the stated exit reason in 60% of voluntary departures; market benchmarking confirms Wynn is 10-16% below P50 at all IC levels; this is the primary driver of elevated attrition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Q4 2024 attrition spike (7.4%) included two L6 Staff Engineers and one L7 Principal Engineer -- these are disproportionately damaging to delivery capacity and institutional knowledge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Current open roles at 16 is the highest year-end figure in the past 5 years; engineering delivery is at risk if the open role pipeline is not resolved by Q2 2025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High-priority retention interventions identified for 4 engineers: two L6 Staff Engineers, one L7 Principal, and one Data Engineering team lead who has been approached by three competitors in Q4 2024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eNPS of 17 is below the 25+ target; the tech stack and tooling are frequently cited in pulse survey comments; approval of the DevOps tooling investment in FY2025 plan should be communicated directly to the engineering team as a retention signal</w:t>
      </w:r>
    </w:p>
    <w:sectPr w:rsidR="00FC693F" w:rsidRPr="0006063C" w:rsidSect="00034616">
      <w:footerReference w:type="default" r:id="rId10"/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b w:val="0"/>
        <w:i/>
        <w:color w:val="6B6B6B"/>
        <w:sz w:val="15"/>
      </w:rPr>
      <w:t>Wynn Resorts, Limited  |  Strictly Confidential  |  03-engineering-attrition-engagement-fy2024.docx  |  Do not distribute without authorization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