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Technology Strategy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Technology Investment ROI Report -- FY2022 to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FY2022-FY2024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Technology Strategy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Technology Investment ROI -- FY2022 to FY2024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Project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Investment ($M)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Owner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Projected ROI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Actual ROI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Revenue Impact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Cost Savings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Workday HCM Implementation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$380K/yr (payroll accuracy, reduced manual HR)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expectations -- adoption issues in scheduling module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Convention Center AV Technology Upgrade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Sales &amp; Events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28% IRR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31% IRR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$4.2M incremental convention revenue in FY2023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expectations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ITSM Implementation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/ COO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$290K/yr (IT labor savings); $180K/yr (operations efficiency)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expectations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Cloud Migration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20% IRR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 (12% to date)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$420K/yr (infrastructure cost reduction partial)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 for full benefit realization FY2025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 Enhancement (Casino Host)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Casino Operations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 projected; $0.6M actual (48-month)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expectations -- Casino Host adoption 48% only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 Falcon Deployment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0.29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Qualitative (risk reduction)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 direct; $2.1M avoided cost from prevented incident (estimated)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 -- cyber insurance premium reduction $84K/yr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Digital Tipping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180% IRR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target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$1.1M incremental F&amp;B revenue (tip sharing drives service quality)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expectations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Infrastructure Migration (Phase 1)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22% IRR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18% IRR (to date)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$340K/yr savings vs on-premise (partial)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 for full savings FY2025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Anaplan Financial Planning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0.38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Qualitative (planning accuracy)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Positive (CFO satisfied)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$120K/yr (FP&amp;A labor savings)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Zero-Trust Guest WiFi (Palo Alto ZTNA)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0.42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Qualitative (risk reduction)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insurance underwriter acknowledged risk reduction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02-technology-investment-roi-fy2022-fy2024.docx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