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Board Technology Committee Briefing -- Q1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Meeting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March 18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Technology Committee members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Technology Performance Dashboard -- Q1 2025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Q1 2025 Actual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System Uptime (critical systems)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99.9%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99.87%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Stable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Mean Time to Resolve P1 Incidents (hrs)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Vulnerabilities (Critical open)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 (in remediation)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MFA Enrollment (% of users)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81%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Amber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 Awareness Training Completion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90%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schedule for Q2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 Budget Utilization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budget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94% of Q1 plan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Open Engineering Roles (#)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NIST CSF Maturity (avg across functions)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Greater than 3.0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Improving (2.4 in Q4 2024)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Major Initiatives Status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Initiative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Budget Used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On Track?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Next Milestone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Platform Replacement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Requirements complete; vendor PoC in progress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18% of budget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selection April 30 2025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Teams Phone Migration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Design complete; pilot in Las Vegas IT dept running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22% of budget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Las Vegas full rollout June 2025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MFA Enforcement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81% complete; 312 users remaining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90% of budget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100% completion February 28 2025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Custom Reports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 of 120 reports migrated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6% of budget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Needs review -- pace too slow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Revised plan due March 31 2025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API Gateway Implementation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selected (Azure APIM); design in progress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5% of budget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Design complete April 15 2025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DevOps CI/CD Build-out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of 11 applications complete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35% of budget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critical apps complete May 2025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Cybersecurity Update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3 Critical vulnerabilities open: Avaya CVE-2024-36488 patch in progress (Jan 31 deadline), Wynn Loyalty Platform PHP 5.6 vulnerability (workaround applied; permanent fix requires platform replacement), Oracle ERP patch deployment scheduled February 8 2025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FY2024 saw 8 security incidents; none resulted in confirmed data breach or material business impact; MGM-style ransomware remains highest residual risk; CrowdStrike Falcon and guest network isolation are primary mitigants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NIST CSF assessment by Deloitte Cyber completed; overall maturity 2.6 of 5.0; remediation roadmap funded in FY2025 budget at $1.5M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Cyber insurance renewal January 2025: premium flat at $2.18M; underwriters acknowledged progress on MFA and zero-trust guest WiFi implementation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AI and Innovation Initiatives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ML Engineer hire approved for Q1 2025; will lead development of guest personalization models using CDP data once loyalty platform and CDP are in place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Generative AI use case assessment completed: top-priority opportunities are guest service chatbot (estimated $340K cost savings/yr), predictive maintenance for HVAC and elevators (estimated $180K savings/yr), and casino fraud detection enhancement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No generative AI initiatives in production; all use cases subject to Legal and Privacy review before deployment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Board direction requested: what level of investment in AI capability building is appropriate for FY2026 budget planning?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Decisions Required of the Board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Loyalty Platform: Board approval requested for the recommended Salesforce Loyalty Management implementation at $12.8M 5-year TCO; decision required by April 30 2025 to meet the FY2026 go-live target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Engineering Compensation: CFO and CTO jointly requesting board awareness that engineering compensation is 10-16% below market P50; $1.8M compensation adjustment required to prevent further talent loss; this is within management approval authority but board awareness is appropriate given risk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AI Investment: Board guidance requested on level of strategic ambition for AI capability in FY2026 planning cycle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03-board-technology-committee-briefing-q1-2025.docx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