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General Counsel | Commercial Contracts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PRIVILEGED &amp;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Contract Template Library and Approved Clause Reference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4.1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Commercial Legal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Effective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Maintained In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ContractPodAi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Approved Clause Library -- Key Positions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Clause Type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Standard Position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Minimum Fallback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Walk-Away Point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Limitation of Liability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Cap at 12 months fees; mutual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Cap at 6 months fees; mutual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cap unacceptable for technology vendors with data access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Cyber incidents: uncapped for data breach by vendor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Indemnification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Mutual; third-party IP claims excluded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Mutual; carve-out for gross negligence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One-sided indemnification against Wynn: walk away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Always require vendor indemnification for their IP infringement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Data Privacy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CCPA/GDPR DPA required; no sub-processor changes without 30-day notice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DPA required; 14-day sub-processor notice acceptable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DPA for any vendor processing personal data: walk away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Must include breach notification within 48 hours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Governing Law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Nevada; Clark County courts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or Delaware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Non-US governing law for US contracts: escalate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Gaming matters must be Nevada law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Auto-Renewal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60-day notice to terminate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30-day notice acceptable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Auto-renew with no termination right: walk away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Always cap any fee increases on renewal at 5% or CPI, whichever lower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Payment Terms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 45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 30 acceptable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 15 or less: CFO approval required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Early payment discounts may be negotiated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Audit Rights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 audit right with 30-day notice; reasonable scope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 audit right with 45-day notice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audit rights for vendors processing Wynn financial data: walk away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Gaming regulatory audit rights are non-negotiable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SLA / Credits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Uptime 99.9% with credit scheme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Uptime 99.5% with credit scheme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SLA or no credits for critical systems: walk away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SLA credits must be minimum 10% monthly fee per qualifying event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Termination for Convenience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90-day notice; no termination fee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60-day notice; fee max 3 months remaining contract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Termination only for cause (no convenience): walk away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 vendors: negotiate step-down termination fee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Intellectual Property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Wynn owns all custom work product; license to vendor for maintenance purposes only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Wynn owns custom work; vendor retains base IP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ownership of Wynn-specific custom development: walk away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Ensure assignment of all background IP created during the engagement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Force Majeure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Standard; pandemic/epidemic not included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Pandemic exclusion negotiable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Blanket force majeure excusing all non-performance: walk away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COVID-era contracts showed overbroad force majeure creates significant risk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Background Checks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vendor personnel accessing Wynn facilities or systems must pass Wynn background check standard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background check program acceptable if Wynn-equivalent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background check requirement for personnel with system access: walk away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Gaming regulation requirement in Nevada and Massachusetts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Confidentiality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Mutual; 5-year post-termination survival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Mutual; 3-year survival acceptable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One-sided confidentiality favoring vendor: walk away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Perpetual confidentiality for trade secrets and gaming operations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Dispute Resolution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Mediation then arbitration (AAA); Las Vegas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Mediation then litigation; Nevada courts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Mandatory foreign arbitration: walk away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Litigation preferred for matters above $5M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Insurance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must maintain: GL $5M, E&amp;O $5M, Cyber $10M, Workers Comp statutory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GL $2M, E&amp;O $2M, Cyber $5M for smaller vendors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insurance requirement for vendors with data access: walk away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Wynn named as additional insured on GL and E&amp;O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Master Service Agreement -- Key Terms Overview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All commercial relationships with annual value above $50K must be documented under a fully executed MSA before any services commence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SOW must reference and incorporate the MSA; no standalone SOWs without an active MSA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Changes to standard MSA terms require VP Commercial Legal approval; deviations from minimum fallback positions require General Counsel approval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All contracts above $1M total value require Legal review; all contracts above $5M require General Counsel sign-off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01-contract-template-clause-library.docx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