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Commercial Contracts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PRIVILEGED &amp;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Contract Negotiation Playbook: Technology Vendor Agreements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2.3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Effective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September 2024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Technology Vendor Negotiation Positions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Issue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Vendor Standard Position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Wynn Preferred Position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Minimum Acceptable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Escalation Trigger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Limitation of Liability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 at 6 months fees; mutual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 at 12 months fees; mutual; uncapped for data breach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 at 6 months; data breach uncapped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refuses data breach carve-out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This is a hard line for any vendor processing personal data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Processing Agreement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Often omitted or minimal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Full CCPA/GDPR DPA with DPO sign-off; 48-hr breach notification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48-hr breach notification; data deletion on termination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refuses DPA entirely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Engage CPO for any DPA that deviates from standard template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Source Code Escrow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Usually excluded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Escrow for all custom code with 30-day release trigger on vendor insolvency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Escrow for critical system code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agrees to escrow but not release triggers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 for systems where Wynn has no migration path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 Uptime SLA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Usually 99.5% or lower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99.9% with 10% monthly credit per qualifying incident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99.5% with credit scheme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credits offered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 tools rated Business Critical require 99.9% minimum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Portability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Often excluded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Machine-readable export of all Wynn data within 30 days of termination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Export within 60 days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claims data portability not technically feasible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Reject this argument; all modern SaaS platforms support data export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Subprocessors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Right to add without notice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30-day prior notice with right to object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14-day notice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notice requirement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Subprocessor changes can affect data residency and security posture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Price Escalation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 CPI or 5-7%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CPI capped at 3%; or fixed price for contract term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CPI or 5%, whichever lower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 increase above 8%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Escalation clauses are negotiable; vendors often concede to Wynn-preferred position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Professional Services Rates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T&amp;M at published rate card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Blended rate or fixed-fee SOWs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Capped T&amp;M at agreed rate card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insists on open-ended T&amp;M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 NTE (not-to-exceed) on all SOWs; fixed fee preferred for defined-scope work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IP Ownership (custom dev)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retains all IP; grants Wynn license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 owns all custom work product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Assignment of work product; vendor license to base platform components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refuses assignment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 not accept vendor IP ownership of Wynn-specific customizations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Audit Rights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Usually excluded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 audit right with 30-day notice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 audit right with 45-day notice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refuses audit rights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Gaming Regulation requires audit rights for gaming-adjacent systems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Termination for Convenience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Often excluded or with 180+ day notice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90-day notice; no termination fee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60-day notice; fee max 3 months remaining value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termination for convenience right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Negotiate this on all contracts above $500K annual value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Background Checks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Usually excluded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personnel accessing Wynn systems must pass Wynn background check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Vendor-equivalent background check program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background check for system access personnel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Gaming Regulation requirement for gaming-adjacent systems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Deal Breakers -- Walk Away Conditions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Vendor ownership of Wynn-specific custom work product with no assignment option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No data processing agreement for a vendor processing personal data of Wynn guests or employees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Governing law outside Nevada or Delaware for US contracts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No termination for convenience right on contracts above $1M with no agreed exit mechanism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Mandatory arbitration in a foreign jurisdiction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Uncapped vendor liability for its own gross negligence or wilful misconduct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No audit rights for vendors processing gaming financial data or personal data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02-contract-negotiation-playbook-tech-vendors.docx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