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Litigation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PRIVILEGED &amp;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Contract Dispute and Litigation Summary -- FY2022 to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FY2022-FY2024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Deputy General Counsel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Contract Dispute and Litigation Register -- FY2022-FY2024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Matter ID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Party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Contract Type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Nature of Dispute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Year Opened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Resolution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Settlement Amount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Legal Cost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Lessons Learned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CDL-2022-001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 Vendor A (identity withheld)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 / Professional Services MSA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delivered custom integration 8 months late; Wynn sought damages for lost revenue and re-procurement costs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Settled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$420K paid to Wynn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$184K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lacked specific milestone dates and liquidated damages for delay; add milestone schedule and LD clause to all professional services SOWs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CDL-2022-002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Supplier B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Supply Agreement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Supplier claimed force majeure for delivery failures during supply chain disruption; Wynn contested scope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Mediation settlement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payment; supplier provided credits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$62K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Force majeure clause was too broad; narrowed in all new supply agreements since 2022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CDL-2023-001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Construction Contractor C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Construction Contract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Contractor claimed extras of $1.4M beyond fixed contract price; Wynn disputed scope creep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Arbitration (Wynn prevailed)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(Wynn prevailed)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$318K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Ensure change order process is explicitly tied to written approval only; no verbal approvals for scope changes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CDL-2023-002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Former Employee 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Employment / Confidentiality Agreement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Former executive alleged Wynn interfered with new employment (tortious interference); filed JAMS arbitration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Settled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$185K paid by Wynn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$247K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Non-compete enforceability limitations in Nevada; revise employment agreements to focus on confidentiality rather than non-compete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CDL-2023-003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Entertainment Promoter 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Event Agreement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canceled headliner agreement due to artist conduct clause trigger; promoter disputed basis for cancellation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Settled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$310K paid by Wynn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$142K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Conduct clause definitions need to be more specific and objective; subjective reputational damage triggers create dispute risk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CDL-2024-001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Insurance Carrier F (cyber)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 Insurance Policy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Carrier disputed coverage for INC-2024-006 vendor breach notification costs, citing vendor-caused vs Wynn-caused distinction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negotiation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$98K to date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Review cyber policy trigger language; first-party vs third-party coverage boundaries must be clearly defined before renewal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CDL-2024-002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Technology Vendor 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 License Agreement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claimed Wynn exceeded licensed user count by 140 users; demanded retroactive license fees of $380K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Settled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$95K paid by Wynn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$44K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License count monitoring must be embedded in IT asset management; over-deployment clauses must be reviewed at contract renewal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CDL-2024-003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Labor Union H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Collective Bargaining Agreement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Union grievance regarding shift scheduling change in F&amp;B department following restructure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Resolved in grievance process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(management right upheld)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$38K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Union consultation required before implementing scheduling model changes; engage VP HR and Labor Relations Counsel earlier in change planning process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03-contract-dispute-litigation-summary.docx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