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General Counsel | Legal Operations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STRICTLY CONFIDENTIAL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Outside Counsel Rate Card and Legal Spend Report -- FY2024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Period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FY2024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Prepared By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Director of Legal Operations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Total Spend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$14.7M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Outside Counsel Rate Card and FY2024 Spend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Firm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Practice Area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Partner Rate/hr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Associate Rate/hr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FY2024 Budget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FY2024 Actuals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Variance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Panel Status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Greenberg Traurig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Gaming / Regulatory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$725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$445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$3.2M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$3.6M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($400K) over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Preferred -- retain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Littler Mendelson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Labor &amp; Employment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$680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$420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$2.1M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$2.4M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($300K) over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Preferred -- retain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Holland &amp; Hart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Litigation / Construction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$640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$390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$1.8M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$1.9M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($100K) over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Preferred -- retain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Fenwick &amp; West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IP / Technology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$780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$480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$1.4M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$1.2M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$200K under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Preferred -- retain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Pillsbury Winthrop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Insurance / Complex Litigation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$760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$460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$1.0M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$0.8M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$200K under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Preferred -- retain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Seyfarth Shaw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Wage &amp; Hour / Class Action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$695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$430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$0.8M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$1.4M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($600K) over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Preferred -- review class action billing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Ogletree Deakins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Labor &amp; Employment (Boston)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$620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$380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$0.7M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$0.6M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$100K under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Preferred -- retain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Gordon Rees Scully Mansukhani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General Litigation (Defense)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$560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$340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$0.8M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$0.8M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On budget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Preferred -- retain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02-outside-counsel-rate-card-spend-fy2024.docx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