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PRIVILEGED &amp;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Litigation Settlement Authority Matrix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2.0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General Counsel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Effective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July 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Approved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CEO, Board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Litigation Settlement Authority Matrix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Settlement Amount Tier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Approver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Co-Approval Required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Board Notification Required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Timeline for Approval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Up to $100K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Deputy General Counsel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(log only)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 business days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Routine settlements; must be reported in quarterly litigation summary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$100K - $500K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General Counsel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(log only)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 business days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Must document settlement rationale and compare against reserve amount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$500K - $1M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General Counsel + CFO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sign-off required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 notification within 30 days (log in Board Finance Committee materials)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 business days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approval required due to reserve and financial statement impact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$1M - $5M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General Counsel + CFO + CEO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three required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 notification within 14 days of settlement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 business days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CEO must be briefed before settlement negotiations are disclosed to opposing party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$5M - $15M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CEO + Board Finance Committee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Full approval required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Formal Board resolution required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 days (or special meeting)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Requires outside counsel opinion on settlement reasonableness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$15M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Full Board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Unanimous Board approval required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Full Board vote; press release may be required if material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 meeting required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Insurance carrier consultation required; SEC disclosure analysis required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03-litigation-settlement-authority-matrix.docx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