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800"/>
      </w:tblGrid>
      <w:tr>
        <w:tc>
          <w:tcPr>
            <w:tcW w:type="dxa" w:w="9360"/>
            <w:shd w:val="clear" w:color="auto" w:fill="B89655"/>
          </w:tcPr>
          <w:p>
            <w:r/>
          </w:p>
        </w:tc>
      </w:tr>
    </w:tbl>
    <w:p>
      <w:pPr>
        <w:spacing w:before="0" w:after="60"/>
      </w:pPr>
    </w:p>
    <w:tbl>
      <w:tblPr>
        <w:tblW w:type="auto" w:w="0"/>
        <w:tblLayout w:type="fixed"/>
        <w:tblLook w:firstColumn="1" w:firstRow="1" w:lastColumn="0" w:lastRow="0" w:noHBand="0" w:noVBand="1" w:val="04A0"/>
      </w:tblPr>
      <w:tblGrid>
        <w:gridCol w:w="2880"/>
        <w:gridCol w:w="7920"/>
      </w:tblGrid>
      <w:tr>
        <w:tc>
          <w:tcPr>
            <w:tcW w:type="dxa" w:w="4680"/>
            <w:vAlign w:val="center"/>
          </w:tcPr>
          <w:p>
            <w:pPr>
              <w:jc w:val="left"/>
            </w:pPr>
            <w:r>
              <w:drawing>
                <wp:inline xmlns:a="http://schemas.openxmlformats.org/drawingml/2006/main" xmlns:pic="http://schemas.openxmlformats.org/drawingml/2006/picture">
                  <wp:extent cx="1554480" cy="6987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54480" cy="698776"/>
                          </a:xfrm>
                          <a:prstGeom prst="rect"/>
                        </pic:spPr>
                      </pic:pic>
                    </a:graphicData>
                  </a:graphic>
                </wp:inline>
              </w:drawing>
            </w:r>
          </w:p>
        </w:tc>
        <w:tc>
          <w:tcPr>
            <w:tcW w:type="dxa" w:w="4680"/>
            <w:vAlign w:val="center"/>
          </w:tcPr>
          <w:p/>
          <w:p>
            <w:pPr>
              <w:spacing w:before="0" w:after="20"/>
              <w:jc w:val="right"/>
            </w:pPr>
            <w:r>
              <w:rPr>
                <w:rFonts w:ascii="Garamond" w:hAnsi="Garamond"/>
                <w:b/>
                <w:i w:val="0"/>
                <w:color w:val="B89655"/>
                <w:sz w:val="18"/>
              </w:rPr>
              <w:t>WYNN RESORTS</w:t>
            </w:r>
          </w:p>
          <w:p>
            <w:pPr>
              <w:spacing w:before="0" w:after="40"/>
              <w:jc w:val="right"/>
            </w:pPr>
            <w:r>
              <w:rPr>
                <w:rFonts w:ascii="Garamond" w:hAnsi="Garamond"/>
                <w:b w:val="0"/>
                <w:i/>
                <w:color w:val="6B6B6B"/>
                <w:sz w:val="16"/>
              </w:rPr>
              <w:t>Office of the General Counsel | Corporate</w:t>
            </w:r>
          </w:p>
          <w:p>
            <w:pPr>
              <w:spacing w:before="0" w:after="0"/>
              <w:jc w:val="right"/>
            </w:pPr>
            <w:r>
              <w:rPr>
                <w:rFonts w:ascii="Garamond" w:hAnsi="Garamond"/>
                <w:b/>
                <w:i w:val="0"/>
                <w:color w:val="C0392B"/>
                <w:sz w:val="15"/>
              </w:rPr>
              <w:t>PRIVILEGED &amp; CONFIDENTIAL</w:t>
            </w:r>
          </w:p>
        </w:tc>
      </w:tr>
    </w:tbl>
    <w:p>
      <w:pPr>
        <w:spacing w:before="40" w:after="40"/>
        <w:pBdr>
          <w:bottom w:val="single" w:sz="16" w:space="1" w:color="B89655"/>
        </w:pBdr>
      </w:pPr>
    </w:p>
    <w:p>
      <w:pPr>
        <w:spacing w:before="0" w:after="60"/>
      </w:pPr>
    </w:p>
    <w:p>
      <w:pPr>
        <w:spacing w:before="0" w:after="80"/>
      </w:pPr>
      <w:r>
        <w:rPr>
          <w:rFonts w:ascii="Garamond" w:hAnsi="Garamond"/>
          <w:b/>
          <w:i w:val="0"/>
          <w:color w:val="6B6B6B"/>
          <w:sz w:val="18"/>
        </w:rPr>
        <w:t>INTERNAL AUDIT REPORT</w:t>
        <w:br/>
      </w:r>
      <w:r>
        <w:rPr>
          <w:rFonts w:ascii="Garamond" w:hAnsi="Garamond"/>
          <w:b/>
          <w:i w:val="0"/>
          <w:color w:val="1A1A2E"/>
          <w:sz w:val="36"/>
        </w:rPr>
        <w:t>Mergers &amp; Acquisitions Legal Playbook</w:t>
      </w:r>
    </w:p>
    <w:p>
      <w:pPr>
        <w:spacing w:before="40" w:after="40"/>
        <w:pBdr>
          <w:bottom w:val="single" w:sz="8" w:space="1" w:color="B89655"/>
        </w:pBdr>
      </w:pPr>
    </w:p>
    <w:p>
      <w:pPr>
        <w:spacing w:before="0" w:after="120"/>
      </w:pPr>
    </w:p>
    <w:tbl>
      <w:tblPr>
        <w:tblStyle w:val="TableGrid"/>
        <w:tblW w:type="auto" w:w="0"/>
        <w:tblLayout w:type="fixed"/>
        <w:tblLook w:firstColumn="1" w:firstRow="1" w:lastColumn="0" w:lastRow="0" w:noHBand="0" w:noVBand="1" w:val="04A0"/>
      </w:tblPr>
      <w:tblGrid>
        <w:gridCol w:w="2880"/>
        <w:gridCol w:w="7920"/>
      </w:tblGrid>
      <w:tr>
        <w:tc>
          <w:tcPr>
            <w:tcW w:type="dxa" w:w="4680"/>
            <w:shd w:val="clear" w:color="auto" w:fill="1A1A2E"/>
          </w:tcPr>
          <w:p>
            <w:r>
              <w:rPr>
                <w:rFonts w:ascii="Garamond" w:hAnsi="Garamond"/>
                <w:b/>
                <w:i w:val="0"/>
                <w:color w:val="FFFFFF"/>
                <w:sz w:val="18"/>
              </w:rPr>
              <w:t>Version</w:t>
            </w:r>
          </w:p>
        </w:tc>
        <w:tc>
          <w:tcPr>
            <w:tcW w:type="dxa" w:w="4680"/>
            <w:shd w:val="clear" w:color="auto" w:fill="1A1A2E"/>
          </w:tcPr>
          <w:p>
            <w:r>
              <w:rPr>
                <w:rFonts w:ascii="Garamond" w:hAnsi="Garamond"/>
                <w:b w:val="0"/>
                <w:i w:val="0"/>
                <w:color w:val="FFFFFF"/>
                <w:sz w:val="18"/>
              </w:rPr>
              <w:t>3.1</w:t>
            </w:r>
          </w:p>
        </w:tc>
      </w:tr>
      <w:tr>
        <w:tc>
          <w:tcPr>
            <w:tcW w:type="dxa" w:w="4680"/>
            <w:shd w:val="clear" w:color="auto" w:fill="FFFFFF"/>
          </w:tcPr>
          <w:p>
            <w:r>
              <w:rPr>
                <w:rFonts w:ascii="Garamond" w:hAnsi="Garamond"/>
                <w:b/>
                <w:i w:val="0"/>
                <w:color w:val="1A1A2E"/>
                <w:sz w:val="18"/>
              </w:rPr>
              <w:t>Owner</w:t>
            </w:r>
          </w:p>
        </w:tc>
        <w:tc>
          <w:tcPr>
            <w:tcW w:type="dxa" w:w="4680"/>
            <w:shd w:val="clear" w:color="auto" w:fill="FFFFFF"/>
          </w:tcPr>
          <w:p>
            <w:r>
              <w:rPr>
                <w:rFonts w:ascii="Garamond" w:hAnsi="Garamond"/>
                <w:b w:val="0"/>
                <w:i w:val="0"/>
                <w:color w:val="1A1A1A"/>
                <w:sz w:val="18"/>
              </w:rPr>
              <w:t>General Counsel</w:t>
            </w:r>
          </w:p>
        </w:tc>
      </w:tr>
      <w:tr>
        <w:tc>
          <w:tcPr>
            <w:tcW w:type="dxa" w:w="4680"/>
            <w:shd w:val="clear" w:color="auto" w:fill="F5F5F5"/>
          </w:tcPr>
          <w:p>
            <w:r>
              <w:rPr>
                <w:rFonts w:ascii="Garamond" w:hAnsi="Garamond"/>
                <w:b/>
                <w:i w:val="0"/>
                <w:color w:val="1A1A2E"/>
                <w:sz w:val="18"/>
              </w:rPr>
              <w:t>Last Updated</w:t>
            </w:r>
          </w:p>
        </w:tc>
        <w:tc>
          <w:tcPr>
            <w:tcW w:type="dxa" w:w="4680"/>
            <w:shd w:val="clear" w:color="auto" w:fill="F5F5F5"/>
          </w:tcPr>
          <w:p>
            <w:r>
              <w:rPr>
                <w:rFonts w:ascii="Garamond" w:hAnsi="Garamond"/>
                <w:b w:val="0"/>
                <w:i w:val="0"/>
                <w:color w:val="1A1A1A"/>
                <w:sz w:val="18"/>
              </w:rPr>
              <w:t>September 2024</w:t>
            </w:r>
          </w:p>
        </w:tc>
      </w:tr>
    </w:tbl>
    <w:p>
      <w:pPr>
        <w:spacing w:before="0" w:after="160"/>
      </w:pPr>
    </w:p>
    <w:p>
      <w:pPr>
        <w:spacing w:before="280" w:after="80"/>
      </w:pPr>
      <w:r>
        <w:rPr>
          <w:rFonts w:ascii="Garamond" w:hAnsi="Garamond"/>
          <w:b/>
          <w:i w:val="0"/>
          <w:color w:val="1A1A2E"/>
          <w:sz w:val="30"/>
        </w:rPr>
        <w:t>Deal Structure Considerations</w:t>
      </w:r>
    </w:p>
    <w:p>
      <w:pPr>
        <w:spacing w:before="40" w:after="40"/>
        <w:pBdr>
          <w:bottom w:val="single" w:sz="16" w:space="1" w:color="B89655"/>
        </w:pBdr>
      </w:pPr>
    </w:p>
    <w:p>
      <w:pPr>
        <w:spacing w:before="20" w:after="80"/>
      </w:pPr>
      <w:r>
        <w:rPr>
          <w:rFonts w:ascii="Garamond" w:hAnsi="Garamond"/>
          <w:b w:val="0"/>
          <w:i w:val="0"/>
          <w:color w:val="1A1A1A"/>
          <w:sz w:val="20"/>
        </w:rPr>
        <w:t>Wynn Resorts M&amp;A transactions may be structured as asset purchases, stock purchases, or mergers depending on tax efficiency, gaming license transferability, liability exposure, and third-party consent requirements. Asset purchases are preferred for transactions where liability quarantine is the primary concern. Stock purchases may be required where gaming licenses attach to the legal entity. Any transaction involving a gaming license transfer requires regulatory pre-approval from the applicable gaming commission(s) and typically adds 6-18 months to the deal timeline. All deal structure decisions require General Counsel and CFO alignment before LOI execution.</w:t>
      </w:r>
    </w:p>
    <w:p>
      <w:pPr>
        <w:spacing w:before="160" w:after="80"/>
      </w:pPr>
      <w:r>
        <w:rPr>
          <w:rFonts w:ascii="Garamond" w:hAnsi="Garamond"/>
          <w:b/>
          <w:i w:val="0"/>
          <w:color w:val="1A1A2E"/>
          <w:sz w:val="24"/>
        </w:rPr>
        <w:t>Due Diligence Checklist -- Key Areas</w:t>
      </w:r>
    </w:p>
    <w:p>
      <w:pPr>
        <w:spacing w:before="40" w:after="40"/>
        <w:pBdr>
          <w:bottom w:val="single" w:sz="8" w:space="1" w:color="6B6B6B"/>
        </w:pBdr>
      </w:pPr>
    </w:p>
    <w:p>
      <w:pPr>
        <w:pStyle w:val="ListBullet"/>
        <w:spacing w:before="20" w:after="40"/>
        <w:ind w:left="360"/>
      </w:pPr>
      <w:r>
        <w:rPr>
          <w:rFonts w:ascii="Garamond" w:hAnsi="Garamond"/>
          <w:b w:val="0"/>
          <w:i w:val="0"/>
          <w:color w:val="1A1A1A"/>
          <w:sz w:val="20"/>
        </w:rPr>
        <w:t>Corporate records: formation documents, board minutes, capitalization table, shareholder agreements, outstanding options and warrants</w:t>
      </w:r>
    </w:p>
    <w:p>
      <w:pPr>
        <w:pStyle w:val="ListBullet"/>
        <w:spacing w:before="20" w:after="40"/>
        <w:ind w:left="360"/>
      </w:pPr>
      <w:r>
        <w:rPr>
          <w:rFonts w:ascii="Garamond" w:hAnsi="Garamond"/>
          <w:b w:val="0"/>
          <w:i w:val="0"/>
          <w:color w:val="1A1A1A"/>
          <w:sz w:val="20"/>
        </w:rPr>
        <w:t>Gaming licenses and regulatory history: all gaming licenses held, examination history, any regulatory sanctions or conditions, pending regulatory actions</w:t>
      </w:r>
    </w:p>
    <w:p>
      <w:pPr>
        <w:pStyle w:val="ListBullet"/>
        <w:spacing w:before="20" w:after="40"/>
        <w:ind w:left="360"/>
      </w:pPr>
      <w:r>
        <w:rPr>
          <w:rFonts w:ascii="Garamond" w:hAnsi="Garamond"/>
          <w:b w:val="0"/>
          <w:i w:val="0"/>
          <w:color w:val="1A1A1A"/>
          <w:sz w:val="20"/>
        </w:rPr>
        <w:t>Litigation and contingent liabilities: all pending and threatened litigation, regulatory investigations, environmental liabilities, employment claims</w:t>
      </w:r>
    </w:p>
    <w:p>
      <w:pPr>
        <w:pStyle w:val="ListBullet"/>
        <w:spacing w:before="20" w:after="40"/>
        <w:ind w:left="360"/>
      </w:pPr>
      <w:r>
        <w:rPr>
          <w:rFonts w:ascii="Garamond" w:hAnsi="Garamond"/>
          <w:b w:val="0"/>
          <w:i w:val="0"/>
          <w:color w:val="1A1A1A"/>
          <w:sz w:val="20"/>
        </w:rPr>
        <w:t>Material contracts: all contracts above $500K, change-of-control provisions, consent requirements, assignment restrictions</w:t>
      </w:r>
    </w:p>
    <w:p>
      <w:pPr>
        <w:pStyle w:val="ListBullet"/>
        <w:spacing w:before="20" w:after="40"/>
        <w:ind w:left="360"/>
      </w:pPr>
      <w:r>
        <w:rPr>
          <w:rFonts w:ascii="Garamond" w:hAnsi="Garamond"/>
          <w:b w:val="0"/>
          <w:i w:val="0"/>
          <w:color w:val="1A1A1A"/>
          <w:sz w:val="20"/>
        </w:rPr>
        <w:t>Intellectual property: registered IP, pending applications, IP assignments from founders/employees, open-source usage in software</w:t>
      </w:r>
    </w:p>
    <w:p>
      <w:pPr>
        <w:pStyle w:val="ListBullet"/>
        <w:spacing w:before="20" w:after="40"/>
        <w:ind w:left="360"/>
      </w:pPr>
      <w:r>
        <w:rPr>
          <w:rFonts w:ascii="Garamond" w:hAnsi="Garamond"/>
          <w:b w:val="0"/>
          <w:i w:val="0"/>
          <w:color w:val="1A1A1A"/>
          <w:sz w:val="20"/>
        </w:rPr>
        <w:t>Data privacy: data inventory, privacy program maturity, history of breaches or regulatory inquiries, GDPR/CCPA compliance</w:t>
      </w:r>
    </w:p>
    <w:p>
      <w:pPr>
        <w:pStyle w:val="ListBullet"/>
        <w:spacing w:before="20" w:after="40"/>
        <w:ind w:left="360"/>
      </w:pPr>
      <w:r>
        <w:rPr>
          <w:rFonts w:ascii="Garamond" w:hAnsi="Garamond"/>
          <w:b w:val="0"/>
          <w:i w:val="0"/>
          <w:color w:val="1A1A1A"/>
          <w:sz w:val="20"/>
        </w:rPr>
        <w:t>Tax: federal and state tax returns for 5 years, open audit years, tax positions, net operating loss carryforwards</w:t>
      </w:r>
    </w:p>
    <w:p>
      <w:pPr>
        <w:pStyle w:val="ListBullet"/>
        <w:spacing w:before="20" w:after="40"/>
        <w:ind w:left="360"/>
      </w:pPr>
      <w:r>
        <w:rPr>
          <w:rFonts w:ascii="Garamond" w:hAnsi="Garamond"/>
          <w:b w:val="0"/>
          <w:i w:val="0"/>
          <w:color w:val="1A1A1A"/>
          <w:sz w:val="20"/>
        </w:rPr>
        <w:t>Financial statements: audited financials for 3 years, quality of earnings assessment, working capital analysis</w:t>
      </w:r>
    </w:p>
    <w:p>
      <w:pPr>
        <w:pStyle w:val="ListBullet"/>
        <w:spacing w:before="20" w:after="40"/>
        <w:ind w:left="360"/>
      </w:pPr>
      <w:r>
        <w:rPr>
          <w:rFonts w:ascii="Garamond" w:hAnsi="Garamond"/>
          <w:b w:val="0"/>
          <w:i w:val="0"/>
          <w:color w:val="1A1A1A"/>
          <w:sz w:val="20"/>
        </w:rPr>
        <w:t>Employment: key employee agreements, non-competes, compensation plans, union agreements, benefits and pension liabilities</w:t>
      </w:r>
    </w:p>
    <w:p>
      <w:pPr>
        <w:pStyle w:val="ListBullet"/>
        <w:spacing w:before="20" w:after="40"/>
        <w:ind w:left="360"/>
      </w:pPr>
      <w:r>
        <w:rPr>
          <w:rFonts w:ascii="Garamond" w:hAnsi="Garamond"/>
          <w:b w:val="0"/>
          <w:i w:val="0"/>
          <w:color w:val="1A1A1A"/>
          <w:sz w:val="20"/>
        </w:rPr>
        <w:t>Real property: owned and leased properties, title, zoning, environmental reports, outstanding liens</w:t>
      </w:r>
    </w:p>
    <w:p>
      <w:pPr>
        <w:spacing w:before="160" w:after="80"/>
      </w:pPr>
      <w:r>
        <w:rPr>
          <w:rFonts w:ascii="Garamond" w:hAnsi="Garamond"/>
          <w:b/>
          <w:i w:val="0"/>
          <w:color w:val="1A1A2E"/>
          <w:sz w:val="24"/>
        </w:rPr>
        <w:t>Legal Workstream Structure</w:t>
      </w:r>
    </w:p>
    <w:p>
      <w:pPr>
        <w:spacing w:before="40" w:after="40"/>
        <w:pBdr>
          <w:bottom w:val="single" w:sz="8" w:space="1" w:color="6B6B6B"/>
        </w:pBdr>
      </w:pP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A1A2E"/>
          </w:tcPr>
          <w:p>
            <w:pPr>
              <w:jc w:val="center"/>
            </w:pPr>
            <w:r>
              <w:rPr>
                <w:rFonts w:ascii="Garamond" w:hAnsi="Garamond"/>
                <w:b/>
                <w:i w:val="0"/>
                <w:color w:val="FFFFFF"/>
                <w:sz w:val="18"/>
              </w:rPr>
              <w:t>Workstream</w:t>
            </w:r>
          </w:p>
        </w:tc>
        <w:tc>
          <w:tcPr>
            <w:tcW w:type="dxa" w:w="1872"/>
            <w:shd w:val="clear" w:color="auto" w:fill="1A1A2E"/>
          </w:tcPr>
          <w:p>
            <w:pPr>
              <w:jc w:val="center"/>
            </w:pPr>
            <w:r>
              <w:rPr>
                <w:rFonts w:ascii="Garamond" w:hAnsi="Garamond"/>
                <w:b/>
                <w:i w:val="0"/>
                <w:color w:val="FFFFFF"/>
                <w:sz w:val="18"/>
              </w:rPr>
              <w:t>Lead Counsel</w:t>
            </w:r>
          </w:p>
        </w:tc>
        <w:tc>
          <w:tcPr>
            <w:tcW w:type="dxa" w:w="1872"/>
            <w:shd w:val="clear" w:color="auto" w:fill="1A1A2E"/>
          </w:tcPr>
          <w:p>
            <w:pPr>
              <w:jc w:val="center"/>
            </w:pPr>
            <w:r>
              <w:rPr>
                <w:rFonts w:ascii="Garamond" w:hAnsi="Garamond"/>
                <w:b/>
                <w:i w:val="0"/>
                <w:color w:val="FFFFFF"/>
                <w:sz w:val="18"/>
              </w:rPr>
              <w:t>Outside Counsel</w:t>
            </w:r>
          </w:p>
        </w:tc>
        <w:tc>
          <w:tcPr>
            <w:tcW w:type="dxa" w:w="1872"/>
            <w:shd w:val="clear" w:color="auto" w:fill="1A1A2E"/>
          </w:tcPr>
          <w:p>
            <w:pPr>
              <w:jc w:val="center"/>
            </w:pPr>
            <w:r>
              <w:rPr>
                <w:rFonts w:ascii="Garamond" w:hAnsi="Garamond"/>
                <w:b/>
                <w:i w:val="0"/>
                <w:color w:val="FFFFFF"/>
                <w:sz w:val="18"/>
              </w:rPr>
              <w:t>Key Deliverables</w:t>
            </w:r>
          </w:p>
        </w:tc>
        <w:tc>
          <w:tcPr>
            <w:tcW w:type="dxa" w:w="1872"/>
            <w:shd w:val="clear" w:color="auto" w:fill="1A1A2E"/>
          </w:tcPr>
          <w:p>
            <w:pPr>
              <w:jc w:val="center"/>
            </w:pPr>
            <w:r>
              <w:rPr>
                <w:rFonts w:ascii="Garamond" w:hAnsi="Garamond"/>
                <w:b/>
                <w:i w:val="0"/>
                <w:color w:val="FFFFFF"/>
                <w:sz w:val="18"/>
              </w:rPr>
              <w:t>Typical Duration</w:t>
            </w:r>
          </w:p>
        </w:tc>
      </w:tr>
      <w:tr>
        <w:tc>
          <w:tcPr>
            <w:tcW w:type="dxa" w:w="1872"/>
            <w:shd w:val="clear" w:color="auto" w:fill="F5F5F5"/>
          </w:tcPr>
          <w:p>
            <w:r>
              <w:rPr>
                <w:rFonts w:ascii="Garamond" w:hAnsi="Garamond"/>
                <w:b w:val="0"/>
                <w:i w:val="0"/>
                <w:color w:val="1A1A1A"/>
                <w:sz w:val="18"/>
              </w:rPr>
              <w:t>Gaming Regulatory</w:t>
            </w:r>
          </w:p>
        </w:tc>
        <w:tc>
          <w:tcPr>
            <w:tcW w:type="dxa" w:w="1872"/>
            <w:shd w:val="clear" w:color="auto" w:fill="F5F5F5"/>
          </w:tcPr>
          <w:p>
            <w:r>
              <w:rPr>
                <w:rFonts w:ascii="Garamond" w:hAnsi="Garamond"/>
                <w:b w:val="0"/>
                <w:i w:val="0"/>
                <w:color w:val="1A1A1A"/>
                <w:sz w:val="18"/>
              </w:rPr>
              <w:t>VP Regulatory Affairs</w:t>
            </w:r>
          </w:p>
        </w:tc>
        <w:tc>
          <w:tcPr>
            <w:tcW w:type="dxa" w:w="1872"/>
            <w:shd w:val="clear" w:color="auto" w:fill="F5F5F5"/>
          </w:tcPr>
          <w:p>
            <w:r>
              <w:rPr>
                <w:rFonts w:ascii="Garamond" w:hAnsi="Garamond"/>
                <w:b w:val="0"/>
                <w:i w:val="0"/>
                <w:color w:val="1A1A1A"/>
                <w:sz w:val="18"/>
              </w:rPr>
              <w:t>Greenberg Traurig (gaming group)</w:t>
            </w:r>
          </w:p>
        </w:tc>
        <w:tc>
          <w:tcPr>
            <w:tcW w:type="dxa" w:w="1872"/>
            <w:shd w:val="clear" w:color="auto" w:fill="F5F5F5"/>
          </w:tcPr>
          <w:p>
            <w:r>
              <w:rPr>
                <w:rFonts w:ascii="Garamond" w:hAnsi="Garamond"/>
                <w:b w:val="0"/>
                <w:i w:val="0"/>
                <w:color w:val="1A1A1A"/>
                <w:sz w:val="18"/>
              </w:rPr>
              <w:t>Gaming license transfer analysis; regulatory approval strategy; NGCB/MGC pre-filing</w:t>
            </w:r>
          </w:p>
        </w:tc>
        <w:tc>
          <w:tcPr>
            <w:tcW w:type="dxa" w:w="1872"/>
            <w:shd w:val="clear" w:color="auto" w:fill="F5F5F5"/>
          </w:tcPr>
          <w:p>
            <w:r>
              <w:rPr>
                <w:rFonts w:ascii="Garamond" w:hAnsi="Garamond"/>
                <w:b w:val="0"/>
                <w:i w:val="0"/>
                <w:color w:val="1A1A1A"/>
                <w:sz w:val="18"/>
              </w:rPr>
              <w:t>6-18 months</w:t>
            </w:r>
          </w:p>
        </w:tc>
      </w:tr>
      <w:tr>
        <w:tc>
          <w:tcPr>
            <w:tcW w:type="dxa" w:w="1872"/>
            <w:shd w:val="clear" w:color="auto" w:fill="FFFFFF"/>
          </w:tcPr>
          <w:p>
            <w:r>
              <w:rPr>
                <w:rFonts w:ascii="Garamond" w:hAnsi="Garamond"/>
                <w:b w:val="0"/>
                <w:i w:val="0"/>
                <w:color w:val="1A1A1A"/>
                <w:sz w:val="18"/>
              </w:rPr>
              <w:t>Corporate / M&amp;A</w:t>
            </w:r>
          </w:p>
        </w:tc>
        <w:tc>
          <w:tcPr>
            <w:tcW w:type="dxa" w:w="1872"/>
            <w:shd w:val="clear" w:color="auto" w:fill="FFFFFF"/>
          </w:tcPr>
          <w:p>
            <w:r>
              <w:rPr>
                <w:rFonts w:ascii="Garamond" w:hAnsi="Garamond"/>
                <w:b w:val="0"/>
                <w:i w:val="0"/>
                <w:color w:val="1A1A1A"/>
                <w:sz w:val="18"/>
              </w:rPr>
              <w:t>General Counsel</w:t>
            </w:r>
          </w:p>
        </w:tc>
        <w:tc>
          <w:tcPr>
            <w:tcW w:type="dxa" w:w="1872"/>
            <w:shd w:val="clear" w:color="auto" w:fill="FFFFFF"/>
          </w:tcPr>
          <w:p>
            <w:r>
              <w:rPr>
                <w:rFonts w:ascii="Garamond" w:hAnsi="Garamond"/>
                <w:b w:val="0"/>
                <w:i w:val="0"/>
                <w:color w:val="1A1A1A"/>
                <w:sz w:val="18"/>
              </w:rPr>
              <w:t>Fenwick &amp; West (M&amp;A) or Latham &amp; Watkins</w:t>
            </w:r>
          </w:p>
        </w:tc>
        <w:tc>
          <w:tcPr>
            <w:tcW w:type="dxa" w:w="1872"/>
            <w:shd w:val="clear" w:color="auto" w:fill="FFFFFF"/>
          </w:tcPr>
          <w:p>
            <w:r>
              <w:rPr>
                <w:rFonts w:ascii="Garamond" w:hAnsi="Garamond"/>
                <w:b w:val="0"/>
                <w:i w:val="0"/>
                <w:color w:val="1A1A1A"/>
                <w:sz w:val="18"/>
              </w:rPr>
              <w:t>LOI; definitive agreement; disclosure schedules; closing conditions</w:t>
            </w:r>
          </w:p>
        </w:tc>
        <w:tc>
          <w:tcPr>
            <w:tcW w:type="dxa" w:w="1872"/>
            <w:shd w:val="clear" w:color="auto" w:fill="FFFFFF"/>
          </w:tcPr>
          <w:p>
            <w:r>
              <w:rPr>
                <w:rFonts w:ascii="Garamond" w:hAnsi="Garamond"/>
                <w:b w:val="0"/>
                <w:i w:val="0"/>
                <w:color w:val="1A1A1A"/>
                <w:sz w:val="18"/>
              </w:rPr>
              <w:t>3-9 months</w:t>
            </w:r>
          </w:p>
        </w:tc>
      </w:tr>
      <w:tr>
        <w:tc>
          <w:tcPr>
            <w:tcW w:type="dxa" w:w="1872"/>
            <w:shd w:val="clear" w:color="auto" w:fill="F5F5F5"/>
          </w:tcPr>
          <w:p>
            <w:r>
              <w:rPr>
                <w:rFonts w:ascii="Garamond" w:hAnsi="Garamond"/>
                <w:b w:val="0"/>
                <w:i w:val="0"/>
                <w:color w:val="1A1A1A"/>
                <w:sz w:val="18"/>
              </w:rPr>
              <w:t>Employment / Benefits</w:t>
            </w:r>
          </w:p>
        </w:tc>
        <w:tc>
          <w:tcPr>
            <w:tcW w:type="dxa" w:w="1872"/>
            <w:shd w:val="clear" w:color="auto" w:fill="F5F5F5"/>
          </w:tcPr>
          <w:p>
            <w:r>
              <w:rPr>
                <w:rFonts w:ascii="Garamond" w:hAnsi="Garamond"/>
                <w:b w:val="0"/>
                <w:i w:val="0"/>
                <w:color w:val="1A1A1A"/>
                <w:sz w:val="18"/>
              </w:rPr>
              <w:t>VP HR + CLO</w:t>
            </w:r>
          </w:p>
        </w:tc>
        <w:tc>
          <w:tcPr>
            <w:tcW w:type="dxa" w:w="1872"/>
            <w:shd w:val="clear" w:color="auto" w:fill="F5F5F5"/>
          </w:tcPr>
          <w:p>
            <w:r>
              <w:rPr>
                <w:rFonts w:ascii="Garamond" w:hAnsi="Garamond"/>
                <w:b w:val="0"/>
                <w:i w:val="0"/>
                <w:color w:val="1A1A1A"/>
                <w:sz w:val="18"/>
              </w:rPr>
              <w:t>Littler Mendelson</w:t>
            </w:r>
          </w:p>
        </w:tc>
        <w:tc>
          <w:tcPr>
            <w:tcW w:type="dxa" w:w="1872"/>
            <w:shd w:val="clear" w:color="auto" w:fill="F5F5F5"/>
          </w:tcPr>
          <w:p>
            <w:r>
              <w:rPr>
                <w:rFonts w:ascii="Garamond" w:hAnsi="Garamond"/>
                <w:b w:val="0"/>
                <w:i w:val="0"/>
                <w:color w:val="1A1A1A"/>
                <w:sz w:val="18"/>
              </w:rPr>
              <w:t>Employee retention; benefit plan transition; union notification if applicable</w:t>
            </w:r>
          </w:p>
        </w:tc>
        <w:tc>
          <w:tcPr>
            <w:tcW w:type="dxa" w:w="1872"/>
            <w:shd w:val="clear" w:color="auto" w:fill="F5F5F5"/>
          </w:tcPr>
          <w:p>
            <w:r>
              <w:rPr>
                <w:rFonts w:ascii="Garamond" w:hAnsi="Garamond"/>
                <w:b w:val="0"/>
                <w:i w:val="0"/>
                <w:color w:val="1A1A1A"/>
                <w:sz w:val="18"/>
              </w:rPr>
              <w:t>Runs parallel to main deal</w:t>
            </w:r>
          </w:p>
        </w:tc>
      </w:tr>
      <w:tr>
        <w:tc>
          <w:tcPr>
            <w:tcW w:type="dxa" w:w="1872"/>
            <w:shd w:val="clear" w:color="auto" w:fill="FFFFFF"/>
          </w:tcPr>
          <w:p>
            <w:r>
              <w:rPr>
                <w:rFonts w:ascii="Garamond" w:hAnsi="Garamond"/>
                <w:b w:val="0"/>
                <w:i w:val="0"/>
                <w:color w:val="1A1A1A"/>
                <w:sz w:val="18"/>
              </w:rPr>
              <w:t>IP / Technology</w:t>
            </w:r>
          </w:p>
        </w:tc>
        <w:tc>
          <w:tcPr>
            <w:tcW w:type="dxa" w:w="1872"/>
            <w:shd w:val="clear" w:color="auto" w:fill="FFFFFF"/>
          </w:tcPr>
          <w:p>
            <w:r>
              <w:rPr>
                <w:rFonts w:ascii="Garamond" w:hAnsi="Garamond"/>
                <w:b w:val="0"/>
                <w:i w:val="0"/>
                <w:color w:val="1A1A1A"/>
                <w:sz w:val="18"/>
              </w:rPr>
              <w:t>VP Commercial Legal</w:t>
            </w:r>
          </w:p>
        </w:tc>
        <w:tc>
          <w:tcPr>
            <w:tcW w:type="dxa" w:w="1872"/>
            <w:shd w:val="clear" w:color="auto" w:fill="FFFFFF"/>
          </w:tcPr>
          <w:p>
            <w:r>
              <w:rPr>
                <w:rFonts w:ascii="Garamond" w:hAnsi="Garamond"/>
                <w:b w:val="0"/>
                <w:i w:val="0"/>
                <w:color w:val="1A1A1A"/>
                <w:sz w:val="18"/>
              </w:rPr>
              <w:t>Fenwick &amp; West (IP group)</w:t>
            </w:r>
          </w:p>
        </w:tc>
        <w:tc>
          <w:tcPr>
            <w:tcW w:type="dxa" w:w="1872"/>
            <w:shd w:val="clear" w:color="auto" w:fill="FFFFFF"/>
          </w:tcPr>
          <w:p>
            <w:r>
              <w:rPr>
                <w:rFonts w:ascii="Garamond" w:hAnsi="Garamond"/>
                <w:b w:val="0"/>
                <w:i w:val="0"/>
                <w:color w:val="1A1A1A"/>
                <w:sz w:val="18"/>
              </w:rPr>
              <w:t>IP due diligence; license assignments; technology transition plan</w:t>
            </w:r>
          </w:p>
        </w:tc>
        <w:tc>
          <w:tcPr>
            <w:tcW w:type="dxa" w:w="1872"/>
            <w:shd w:val="clear" w:color="auto" w:fill="FFFFFF"/>
          </w:tcPr>
          <w:p>
            <w:r>
              <w:rPr>
                <w:rFonts w:ascii="Garamond" w:hAnsi="Garamond"/>
                <w:b w:val="0"/>
                <w:i w:val="0"/>
                <w:color w:val="1A1A1A"/>
                <w:sz w:val="18"/>
              </w:rPr>
              <w:t>2-4 months</w:t>
            </w:r>
          </w:p>
        </w:tc>
      </w:tr>
      <w:tr>
        <w:tc>
          <w:tcPr>
            <w:tcW w:type="dxa" w:w="1872"/>
            <w:shd w:val="clear" w:color="auto" w:fill="F5F5F5"/>
          </w:tcPr>
          <w:p>
            <w:r>
              <w:rPr>
                <w:rFonts w:ascii="Garamond" w:hAnsi="Garamond"/>
                <w:b w:val="0"/>
                <w:i w:val="0"/>
                <w:color w:val="1A1A1A"/>
                <w:sz w:val="18"/>
              </w:rPr>
              <w:t>Antitrust / Competition</w:t>
            </w:r>
          </w:p>
        </w:tc>
        <w:tc>
          <w:tcPr>
            <w:tcW w:type="dxa" w:w="1872"/>
            <w:shd w:val="clear" w:color="auto" w:fill="F5F5F5"/>
          </w:tcPr>
          <w:p>
            <w:r>
              <w:rPr>
                <w:rFonts w:ascii="Garamond" w:hAnsi="Garamond"/>
                <w:b w:val="0"/>
                <w:i w:val="0"/>
                <w:color w:val="1A1A1A"/>
                <w:sz w:val="18"/>
              </w:rPr>
              <w:t>General Counsel</w:t>
            </w:r>
          </w:p>
        </w:tc>
        <w:tc>
          <w:tcPr>
            <w:tcW w:type="dxa" w:w="1872"/>
            <w:shd w:val="clear" w:color="auto" w:fill="F5F5F5"/>
          </w:tcPr>
          <w:p>
            <w:r>
              <w:rPr>
                <w:rFonts w:ascii="Garamond" w:hAnsi="Garamond"/>
                <w:b w:val="0"/>
                <w:i w:val="0"/>
                <w:color w:val="1A1A1A"/>
                <w:sz w:val="18"/>
              </w:rPr>
              <w:t>Greenberg Traurig (antitrust)</w:t>
            </w:r>
          </w:p>
        </w:tc>
        <w:tc>
          <w:tcPr>
            <w:tcW w:type="dxa" w:w="1872"/>
            <w:shd w:val="clear" w:color="auto" w:fill="F5F5F5"/>
          </w:tcPr>
          <w:p>
            <w:r>
              <w:rPr>
                <w:rFonts w:ascii="Garamond" w:hAnsi="Garamond"/>
                <w:b w:val="0"/>
                <w:i w:val="0"/>
                <w:color w:val="1A1A1A"/>
                <w:sz w:val="18"/>
              </w:rPr>
              <w:t>HSR filing analysis; competitive effects assessment; FTC/DOJ filing if required</w:t>
            </w:r>
          </w:p>
        </w:tc>
        <w:tc>
          <w:tcPr>
            <w:tcW w:type="dxa" w:w="1872"/>
            <w:shd w:val="clear" w:color="auto" w:fill="F5F5F5"/>
          </w:tcPr>
          <w:p>
            <w:r>
              <w:rPr>
                <w:rFonts w:ascii="Garamond" w:hAnsi="Garamond"/>
                <w:b w:val="0"/>
                <w:i w:val="0"/>
                <w:color w:val="1A1A1A"/>
                <w:sz w:val="18"/>
              </w:rPr>
              <w:t>2-6 months (if filing required)</w:t>
            </w:r>
          </w:p>
        </w:tc>
      </w:tr>
      <w:tr>
        <w:tc>
          <w:tcPr>
            <w:tcW w:type="dxa" w:w="1872"/>
            <w:shd w:val="clear" w:color="auto" w:fill="FFFFFF"/>
          </w:tcPr>
          <w:p>
            <w:r>
              <w:rPr>
                <w:rFonts w:ascii="Garamond" w:hAnsi="Garamond"/>
                <w:b w:val="0"/>
                <w:i w:val="0"/>
                <w:color w:val="1A1A1A"/>
                <w:sz w:val="18"/>
              </w:rPr>
              <w:t>Data Privacy</w:t>
            </w:r>
          </w:p>
        </w:tc>
        <w:tc>
          <w:tcPr>
            <w:tcW w:type="dxa" w:w="1872"/>
            <w:shd w:val="clear" w:color="auto" w:fill="FFFFFF"/>
          </w:tcPr>
          <w:p>
            <w:r>
              <w:rPr>
                <w:rFonts w:ascii="Garamond" w:hAnsi="Garamond"/>
                <w:b w:val="0"/>
                <w:i w:val="0"/>
                <w:color w:val="1A1A1A"/>
                <w:sz w:val="18"/>
              </w:rPr>
              <w:t>Chief Privacy Officer + CLO</w:t>
            </w:r>
          </w:p>
        </w:tc>
        <w:tc>
          <w:tcPr>
            <w:tcW w:type="dxa" w:w="1872"/>
            <w:shd w:val="clear" w:color="auto" w:fill="FFFFFF"/>
          </w:tcPr>
          <w:p>
            <w:r>
              <w:rPr>
                <w:rFonts w:ascii="Garamond" w:hAnsi="Garamond"/>
                <w:b w:val="0"/>
                <w:i w:val="0"/>
                <w:color w:val="1A1A1A"/>
                <w:sz w:val="18"/>
              </w:rPr>
              <w:t>Willkie Farr (privacy)</w:t>
            </w:r>
          </w:p>
        </w:tc>
        <w:tc>
          <w:tcPr>
            <w:tcW w:type="dxa" w:w="1872"/>
            <w:shd w:val="clear" w:color="auto" w:fill="FFFFFF"/>
          </w:tcPr>
          <w:p>
            <w:r>
              <w:rPr>
                <w:rFonts w:ascii="Garamond" w:hAnsi="Garamond"/>
                <w:b w:val="0"/>
                <w:i w:val="0"/>
                <w:color w:val="1A1A1A"/>
                <w:sz w:val="18"/>
              </w:rPr>
              <w:t>Privacy due diligence; data transfer agreements; CCPA/GDPR implications</w:t>
            </w:r>
          </w:p>
        </w:tc>
        <w:tc>
          <w:tcPr>
            <w:tcW w:type="dxa" w:w="1872"/>
            <w:shd w:val="clear" w:color="auto" w:fill="FFFFFF"/>
          </w:tcPr>
          <w:p>
            <w:r>
              <w:rPr>
                <w:rFonts w:ascii="Garamond" w:hAnsi="Garamond"/>
                <w:b w:val="0"/>
                <w:i w:val="0"/>
                <w:color w:val="1A1A1A"/>
                <w:sz w:val="18"/>
              </w:rPr>
              <w:t>2-3 months</w:t>
            </w:r>
          </w:p>
        </w:tc>
      </w:tr>
      <w:tr>
        <w:tc>
          <w:tcPr>
            <w:tcW w:type="dxa" w:w="1872"/>
            <w:shd w:val="clear" w:color="auto" w:fill="F5F5F5"/>
          </w:tcPr>
          <w:p>
            <w:r>
              <w:rPr>
                <w:rFonts w:ascii="Garamond" w:hAnsi="Garamond"/>
                <w:b w:val="0"/>
                <w:i w:val="0"/>
                <w:color w:val="1A1A1A"/>
                <w:sz w:val="18"/>
              </w:rPr>
              <w:t>Tax</w:t>
            </w:r>
          </w:p>
        </w:tc>
        <w:tc>
          <w:tcPr>
            <w:tcW w:type="dxa" w:w="1872"/>
            <w:shd w:val="clear" w:color="auto" w:fill="F5F5F5"/>
          </w:tcPr>
          <w:p>
            <w:r>
              <w:rPr>
                <w:rFonts w:ascii="Garamond" w:hAnsi="Garamond"/>
                <w:b w:val="0"/>
                <w:i w:val="0"/>
                <w:color w:val="1A1A1A"/>
                <w:sz w:val="18"/>
              </w:rPr>
              <w:t>VP Tax + CFO</w:t>
            </w:r>
          </w:p>
        </w:tc>
        <w:tc>
          <w:tcPr>
            <w:tcW w:type="dxa" w:w="1872"/>
            <w:shd w:val="clear" w:color="auto" w:fill="F5F5F5"/>
          </w:tcPr>
          <w:p>
            <w:r>
              <w:rPr>
                <w:rFonts w:ascii="Garamond" w:hAnsi="Garamond"/>
                <w:b w:val="0"/>
                <w:i w:val="0"/>
                <w:color w:val="1A1A1A"/>
                <w:sz w:val="18"/>
              </w:rPr>
              <w:t>KPMG or Deloitte Tax</w:t>
            </w:r>
          </w:p>
        </w:tc>
        <w:tc>
          <w:tcPr>
            <w:tcW w:type="dxa" w:w="1872"/>
            <w:shd w:val="clear" w:color="auto" w:fill="F5F5F5"/>
          </w:tcPr>
          <w:p>
            <w:r>
              <w:rPr>
                <w:rFonts w:ascii="Garamond" w:hAnsi="Garamond"/>
                <w:b w:val="0"/>
                <w:i w:val="0"/>
                <w:color w:val="1A1A1A"/>
                <w:sz w:val="18"/>
              </w:rPr>
              <w:t>Tax structure analysis; tax due diligence; tax representations and warranties</w:t>
            </w:r>
          </w:p>
        </w:tc>
        <w:tc>
          <w:tcPr>
            <w:tcW w:type="dxa" w:w="1872"/>
            <w:shd w:val="clear" w:color="auto" w:fill="F5F5F5"/>
          </w:tcPr>
          <w:p>
            <w:r>
              <w:rPr>
                <w:rFonts w:ascii="Garamond" w:hAnsi="Garamond"/>
                <w:b w:val="0"/>
                <w:i w:val="0"/>
                <w:color w:val="1A1A1A"/>
                <w:sz w:val="18"/>
              </w:rPr>
              <w:t>3-6 months</w:t>
            </w:r>
          </w:p>
        </w:tc>
      </w:tr>
      <w:tr>
        <w:tc>
          <w:tcPr>
            <w:tcW w:type="dxa" w:w="1872"/>
            <w:shd w:val="clear" w:color="auto" w:fill="FFFFFF"/>
          </w:tcPr>
          <w:p>
            <w:r>
              <w:rPr>
                <w:rFonts w:ascii="Garamond" w:hAnsi="Garamond"/>
                <w:b w:val="0"/>
                <w:i w:val="0"/>
                <w:color w:val="1A1A1A"/>
                <w:sz w:val="18"/>
              </w:rPr>
              <w:t>Finance / Treasury</w:t>
            </w:r>
          </w:p>
        </w:tc>
        <w:tc>
          <w:tcPr>
            <w:tcW w:type="dxa" w:w="1872"/>
            <w:shd w:val="clear" w:color="auto" w:fill="FFFFFF"/>
          </w:tcPr>
          <w:p>
            <w:r>
              <w:rPr>
                <w:rFonts w:ascii="Garamond" w:hAnsi="Garamond"/>
                <w:b w:val="0"/>
                <w:i w:val="0"/>
                <w:color w:val="1A1A1A"/>
                <w:sz w:val="18"/>
              </w:rPr>
              <w:t>CFO + VP Treasury</w:t>
            </w:r>
          </w:p>
        </w:tc>
        <w:tc>
          <w:tcPr>
            <w:tcW w:type="dxa" w:w="1872"/>
            <w:shd w:val="clear" w:color="auto" w:fill="FFFFFF"/>
          </w:tcPr>
          <w:p>
            <w:r>
              <w:rPr>
                <w:rFonts w:ascii="Garamond" w:hAnsi="Garamond"/>
                <w:b w:val="0"/>
                <w:i w:val="0"/>
                <w:color w:val="1A1A1A"/>
                <w:sz w:val="18"/>
              </w:rPr>
              <w:t>Investment bank (as applicable)</w:t>
            </w:r>
          </w:p>
        </w:tc>
        <w:tc>
          <w:tcPr>
            <w:tcW w:type="dxa" w:w="1872"/>
            <w:shd w:val="clear" w:color="auto" w:fill="FFFFFF"/>
          </w:tcPr>
          <w:p>
            <w:r>
              <w:rPr>
                <w:rFonts w:ascii="Garamond" w:hAnsi="Garamond"/>
                <w:b w:val="0"/>
                <w:i w:val="0"/>
                <w:color w:val="1A1A1A"/>
                <w:sz w:val="18"/>
              </w:rPr>
              <w:t>Financing arrangements; debt covenant analysis; pro forma financials</w:t>
            </w:r>
          </w:p>
        </w:tc>
        <w:tc>
          <w:tcPr>
            <w:tcW w:type="dxa" w:w="1872"/>
            <w:shd w:val="clear" w:color="auto" w:fill="FFFFFF"/>
          </w:tcPr>
          <w:p>
            <w:r>
              <w:rPr>
                <w:rFonts w:ascii="Garamond" w:hAnsi="Garamond"/>
                <w:b w:val="0"/>
                <w:i w:val="0"/>
                <w:color w:val="1A1A1A"/>
                <w:sz w:val="18"/>
              </w:rPr>
              <w:t>Concurrent with deal</w:t>
            </w:r>
          </w:p>
        </w:tc>
      </w:tr>
    </w:tbl>
    <w:p>
      <w:pPr>
        <w:spacing w:before="0" w:after="120"/>
      </w:pP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b w:val="0"/>
        <w:i/>
        <w:color w:val="6B6B6B"/>
        <w:sz w:val="15"/>
      </w:rPr>
      <w:t>Wynn Resorts, Limited  |  Strictly Confidential  |  03-ma-legal-playbook.docx  |  Do not distribute without authorization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