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24"/>
        <w:gridCol w:w="4824"/>
      </w:tblGrid>
      <w:tr>
        <w:tc>
          <w:tcPr>
            <w:tcW w:type="dxa" w:w="4824"/>
            <w:tcMar>
              <w:top w:w="40" w:type="dxa"/>
              <w:bottom w:w="60" w:type="dxa"/>
              <w:left w:w="0" w:type="dxa"/>
              <w:right w:w="0" w:type="dxa"/>
            </w:tcMar>
            <w:tcBorders>
              <w:top w:val="none" w:sz="0" w:space="0" w:color="auto"/>
              <w:bottom w:val="single" w:sz="18" w:space="0" w:color="A51C30"/>
              <w:left w:val="none" w:sz="0" w:space="0" w:color="auto"/>
              <w:right w:val="none" w:sz="0" w:space="0" w:color="auto"/>
            </w:tcBorders>
          </w:tcPr>
          <w:p>
            <w:pPr>
              <w:spacing w:before="0" w:after="0"/>
            </w:pPr>
            <w:r>
              <w:rPr>
                <w:rFonts w:ascii="Times New Roman" w:hAnsi="Times New Roman" w:eastAsia="微軟正黑體"/>
                <w:b/>
                <w:i w:val="0"/>
                <w:color w:val="A51C30"/>
                <w:sz w:val="18"/>
              </w:rPr>
              <w:t>HARVARD BUSINESS SCHOOL STYLE CASE SERIES (TAIWAN LOCALIZED)</w:t>
              <w:br/>
              <w:t>HARVARD BUSINESS SCHOOL STYLE TEACHING NOTE (TAIWAN EDITION) | 教師授課專用教學指引（機密）</w:t>
            </w:r>
          </w:p>
        </w:tc>
        <w:tc>
          <w:tcPr>
            <w:tcW w:type="dxa" w:w="4824"/>
            <w:tcMar>
              <w:top w:w="40" w:type="dxa"/>
              <w:bottom w:w="60" w:type="dxa"/>
              <w:left w:w="0" w:type="dxa"/>
              <w:right w:w="0" w:type="dxa"/>
            </w:tcMar>
            <w:tcBorders>
              <w:top w:val="none" w:sz="0" w:space="0" w:color="auto"/>
              <w:bottom w:val="single" w:sz="18" w:space="0" w:color="A51C30"/>
              <w:left w:val="none" w:sz="0" w:space="0" w:color="auto"/>
              <w:right w:val="none" w:sz="0" w:space="0" w:color="auto"/>
            </w:tcBorders>
          </w:tcPr>
          <w:p>
            <w:pPr>
              <w:spacing w:before="0" w:after="0"/>
              <w:jc w:val="right"/>
            </w:pPr>
            <w:r>
              <w:rPr>
                <w:rFonts w:ascii="Times New Roman" w:hAnsi="Times New Roman" w:eastAsia="微軟正黑體"/>
                <w:b/>
                <w:i w:val="0"/>
                <w:color w:val="595959"/>
                <w:sz w:val="18"/>
              </w:rPr>
              <w:t>文件編號：HBS-FIN-11501-TWTN1</w:t>
              <w:br/>
              <w:t>修訂日期：2026年10月 台灣本土制度教師專用版</w:t>
            </w:r>
          </w:p>
        </w:tc>
      </w:tr>
    </w:tbl>
    <w:p>
      <w:pPr>
        <w:spacing w:before="280" w:after="80"/>
      </w:pPr>
      <w:r>
        <w:rPr>
          <w:rFonts w:ascii="Times New Roman" w:hAnsi="Times New Roman" w:eastAsia="微軟正黑體"/>
          <w:b/>
          <w:i w:val="0"/>
          <w:color w:val="1E1E1E"/>
          <w:sz w:val="36"/>
        </w:rPr>
        <w:t>《翔鷹航太科技：勞退自提、員工福利信託與台幣 ETF 資產配置抉擇》教學指引</w:t>
      </w:r>
    </w:p>
    <w:p>
      <w:pPr>
        <w:spacing w:before="0" w:after="160"/>
      </w:pPr>
      <w:r>
        <w:rPr>
          <w:rFonts w:ascii="Times New Roman" w:hAnsi="Times New Roman" w:eastAsia="微軟正黑體"/>
          <w:b w:val="0"/>
          <w:i/>
          <w:color w:val="595959"/>
          <w:sz w:val="21"/>
        </w:rPr>
        <w:t>Teaching Note — AeroTaiwan Corp.: Labor Pension, Employee Trust Match, and TWD ETF Portfolio Allocation</w:t>
      </w:r>
    </w:p>
    <w:p>
      <w:pPr>
        <w:spacing w:before="0" w:after="240"/>
        <w:pBdr>
          <w:bottom w:val="single" w:sz="6" w:space="6" w:color="CCCCCC"/>
        </w:pBdr>
      </w:pPr>
      <w:r>
        <w:rPr>
          <w:rFonts w:ascii="Times New Roman" w:hAnsi="Times New Roman" w:eastAsia="微軟正黑體"/>
          <w:b w:val="0"/>
          <w:i/>
          <w:color w:val="595959"/>
          <w:sz w:val="17"/>
        </w:rPr>
        <w:t>本教學指引依循哈佛商學院（HBS）個案教學法規範編撰，專為台灣商管學院 EMBA／碩士在職專班與大學部財務課程設計，完美結合台灣《勞退條例》自提節稅、上市櫃／準上市企業員工福利信託（ESOP）以及台股 0050／00733／債券 ETF 實務。</w:t>
      </w:r>
    </w:p>
    <w:p>
      <w:pPr>
        <w:keepNext/>
        <w:spacing w:before="320" w:after="120"/>
        <w:pBdr>
          <w:bottom w:val="single" w:sz="8" w:space="3" w:color="A51C30"/>
        </w:pBdr>
      </w:pPr>
      <w:r>
        <w:rPr>
          <w:rFonts w:ascii="Times New Roman" w:hAnsi="Times New Roman" w:eastAsia="微軟正黑體"/>
          <w:b/>
          <w:i w:val="0"/>
          <w:color w:val="A51C30"/>
          <w:sz w:val="26"/>
        </w:rPr>
        <w:t>壹、個案摘要與核心決策衝突（Case Synopsis &amp; Central Dilemma）</w:t>
      </w:r>
    </w:p>
    <w:p>
      <w:pPr>
        <w:spacing w:before="0" w:after="120" w:line="331" w:lineRule="auto"/>
      </w:pPr>
      <w:r>
        <w:rPr>
          <w:rFonts w:ascii="Times New Roman" w:hAnsi="Times New Roman" w:eastAsia="微軟正黑體"/>
          <w:b w:val="0"/>
          <w:i w:val="0"/>
          <w:color w:val="1E1E1E"/>
          <w:sz w:val="21"/>
        </w:rPr>
        <w:t>本個案設定於台中精密機械科技創新園區之商用無人機與輕型航太製造商「翔鷹航太科技股份有限公司（AeroTaiwan Corp.）」。主角林宥辰（Yu-Chen Lin）是現年 22 歲的國立大學財金系應屆畢業生，錄取財務部初階財務分析師（起始年薪 NT$600,000 元，折合每月稅前全薪 NT$50,000 元，適用台灣綜合所得稅邊際稅率 12.0%，預計 65 歲退休，投資複利期長達 43 年／516 個月）。在入職第一週週五下午五點前，宥辰必須決定《翔鷹航太自主退休儲蓄與企業對等福利信託計畫》之個人稅前自提比例（0%～15%）與五大台幣投資標的（台幣貨幣市場基金、投資級債券 ETF 基金、元大台灣 50 指數基金 0050、富邦台灣中小動能成長基金 00733、翔鷹航太未上市內部股票）之配置權重，並向資深財務副理張凱文（Kevin Chang）呈交量化分析備忘錄。</w:t>
      </w:r>
    </w:p>
    <w:p>
      <w:pPr>
        <w:spacing w:before="0" w:after="120" w:line="331" w:lineRule="auto"/>
      </w:pPr>
      <w:r>
        <w:rPr>
          <w:rFonts w:ascii="Times New Roman" w:hAnsi="Times New Roman" w:eastAsia="微軟正黑體"/>
          <w:b w:val="0"/>
          <w:i w:val="0"/>
          <w:color w:val="1E1E1E"/>
          <w:sz w:val="21"/>
        </w:rPr>
        <w:t>個案透過茶水間三位台灣同事的觀點交鋒，精準再現台灣職場人最典型的三大理財盲點：</w:t>
      </w:r>
    </w:p>
    <w:p>
      <w:pPr>
        <w:spacing w:before="0" w:after="120" w:line="331" w:lineRule="auto"/>
        <w:ind w:left="216"/>
      </w:pPr>
      <w:r>
        <w:rPr>
          <w:rFonts w:ascii="Times New Roman" w:hAnsi="Times New Roman" w:eastAsia="微軟正黑體"/>
          <w:b/>
          <w:i w:val="0"/>
          <w:color w:val="1B365D"/>
          <w:sz w:val="21"/>
        </w:rPr>
        <w:t>• 衝突一（同梯業務陳建宏 Jason 的「月光拖延論」）：</w:t>
      </w:r>
      <w:r>
        <w:rPr>
          <w:rFonts w:ascii="Times New Roman" w:hAnsi="Times New Roman" w:eastAsia="微軟正黑體"/>
          <w:b w:val="0"/>
          <w:i w:val="0"/>
          <w:color w:val="1E1E1E"/>
          <w:sz w:val="21"/>
        </w:rPr>
        <w:t>認為台中租屋、學貸與日常開銷沉重，月薪五萬應勾選「自提 0%」，等 32 歲升任副理、年薪破百萬後再開始存——反映行為財務學之「現時偏誤（Present Bias）」，嚴重忽略了「12% 綜所稅盾＋雇主 5% 對等補助獎勵金（100% 即時無風險報酬）」與前 10 年黃金複利價值。</w:t>
      </w:r>
    </w:p>
    <w:p>
      <w:pPr>
        <w:spacing w:before="0" w:after="120" w:line="331" w:lineRule="auto"/>
        <w:ind w:left="216"/>
      </w:pPr>
      <w:r>
        <w:rPr>
          <w:rFonts w:ascii="Times New Roman" w:hAnsi="Times New Roman" w:eastAsia="微軟正黑體"/>
          <w:b/>
          <w:i w:val="0"/>
          <w:color w:val="1B365D"/>
          <w:sz w:val="21"/>
        </w:rPr>
        <w:t>• 衝突二（資深工程師王大衛 Dave 的「八折未上市股全押論」）：</w:t>
      </w:r>
      <w:r>
        <w:rPr>
          <w:rFonts w:ascii="Times New Roman" w:hAnsi="Times New Roman" w:eastAsia="微軟正黑體"/>
          <w:b w:val="0"/>
          <w:i w:val="0"/>
          <w:color w:val="1E1E1E"/>
          <w:sz w:val="21"/>
        </w:rPr>
        <w:t>主張將退休金「100% 全押翔鷹航太未上市內部股票」，貪圖公司提供的 8 折認購優惠（現買現賺 25%）與 3～4 年後登錄台灣創新板／上市 IPO 翻倍行情——反映「熟悉偏誤（Familiarity Bias）」，忽略了未上市股票高達 20%～35% 的「缺乏市場流通性折價（DLOM）」與「失業＋退休金歸零」的人力資本雙重曝險。</w:t>
      </w:r>
    </w:p>
    <w:p>
      <w:pPr>
        <w:spacing w:before="0" w:after="120" w:line="331" w:lineRule="auto"/>
        <w:ind w:left="216"/>
      </w:pPr>
      <w:r>
        <w:rPr>
          <w:rFonts w:ascii="Times New Roman" w:hAnsi="Times New Roman" w:eastAsia="微軟正黑體"/>
          <w:b/>
          <w:i w:val="0"/>
          <w:color w:val="1B365D"/>
          <w:sz w:val="21"/>
        </w:rPr>
        <w:t>• 衝突三（人資組長林淑芬 Linda 的「定存保本至上論」）：</w:t>
      </w:r>
      <w:r>
        <w:rPr>
          <w:rFonts w:ascii="Times New Roman" w:hAnsi="Times New Roman" w:eastAsia="微軟正黑體"/>
          <w:b w:val="0"/>
          <w:i w:val="0"/>
          <w:color w:val="1E1E1E"/>
          <w:sz w:val="21"/>
        </w:rPr>
        <w:t>因家人曾於 2022 年台股萬八崩跌五千點時受創，主張養老錢絕不能見紅，應「100% 配置於台幣貨幣市場基金（2.5%）與債券基金（5.0%）」——反映「短視損失趨避（Myopic Loss Aversion）」，將短期市場波動誤認為永久本金損失，卻讓 43 年退休購買力遭通膨吞噬。</w:t>
      </w:r>
    </w:p>
    <w:p>
      <w:pPr>
        <w:keepNext/>
        <w:spacing w:before="320" w:after="120"/>
        <w:pBdr>
          <w:bottom w:val="single" w:sz="8" w:space="3" w:color="A51C30"/>
        </w:pBdr>
      </w:pPr>
      <w:r>
        <w:rPr>
          <w:rFonts w:ascii="Times New Roman" w:hAnsi="Times New Roman" w:eastAsia="微軟正黑體"/>
          <w:b/>
          <w:i w:val="0"/>
          <w:color w:val="A51C30"/>
          <w:sz w:val="26"/>
        </w:rPr>
        <w:t>貳、教學定位、適用課程與五大核心學習目標（Pedagogical Objectives）</w:t>
      </w:r>
    </w:p>
    <w:p>
      <w:pPr>
        <w:spacing w:before="0" w:after="120" w:line="331" w:lineRule="auto"/>
      </w:pPr>
      <w:r>
        <w:rPr>
          <w:rFonts w:ascii="Times New Roman" w:hAnsi="Times New Roman" w:eastAsia="微軟正黑體"/>
          <w:b w:val="0"/>
          <w:i w:val="0"/>
          <w:color w:val="1E1E1E"/>
          <w:sz w:val="21"/>
        </w:rPr>
        <w:t>本個案消除了美國 401(k) 的跨國法規隔閡，直接採用新台幣薪資（月薪 5 萬／年薪 60 萬）、台灣綜所稅級距（12% ➔ 20% ➔ 30% ➔ 40%）、台灣《勞退條例》自提稅盾、企業員工福利信託對等補助與台灣投資人耳熟能詳的 **0050（台灣 50）**、**00733（台灣中小）**、**00679B（美債/投資級債）** 為標的。完成本個案研討後，學員應達成以下五大教學目標：</w:t>
      </w:r>
    </w:p>
    <w:p>
      <w:pPr>
        <w:spacing w:before="0" w:after="120" w:line="331" w:lineRule="auto"/>
      </w:pPr>
      <w:r>
        <w:rPr>
          <w:rFonts w:ascii="Times New Roman" w:hAnsi="Times New Roman" w:eastAsia="微軟正黑體"/>
          <w:b/>
          <w:i w:val="0"/>
          <w:color w:val="1B365D"/>
          <w:sz w:val="21"/>
        </w:rPr>
        <w:t>1. 洞悉雇主對等提撥與台灣綜所稅盾之「三方槓桿無風險套利」：</w:t>
      </w:r>
      <w:r>
        <w:rPr>
          <w:rFonts w:ascii="Times New Roman" w:hAnsi="Times New Roman" w:eastAsia="微軟正黑體"/>
          <w:b w:val="0"/>
          <w:i w:val="0"/>
          <w:color w:val="1E1E1E"/>
          <w:sz w:val="21"/>
        </w:rPr>
        <w:t>證明在月薪 5%（NT$2,500）額度內，雇主 1:1 對等補貼創造「名目即時報酬率 +100.00%」；若計入台灣綜所稅 12% 邊際稅率之稅前扣除稅盾（每自提 NT$1.00 實拿薪資僅減少 NT$0.88），其對犧牲可支配現金之「稅後實質即時報酬率」高達 +127.27%（資金瞬間放大 2.27 倍！若為綜所稅率 20%～30% 之 EMBA 主管，稅後實質即時報酬率更飆升至 +150.00%～+185.71%）。</w:t>
      </w:r>
    </w:p>
    <w:p>
      <w:pPr>
        <w:spacing w:before="0" w:after="120" w:line="331" w:lineRule="auto"/>
      </w:pPr>
      <w:r>
        <w:rPr>
          <w:rFonts w:ascii="Times New Roman" w:hAnsi="Times New Roman" w:eastAsia="微軟正黑體"/>
          <w:b/>
          <w:i w:val="0"/>
          <w:color w:val="1B365D"/>
          <w:sz w:val="21"/>
        </w:rPr>
        <w:t>2. 量化 43 年新台幣複利指數效應與「延遲 10 年儲蓄」之機會成本：</w:t>
      </w:r>
      <w:r>
        <w:rPr>
          <w:rFonts w:ascii="Times New Roman" w:hAnsi="Times New Roman" w:eastAsia="微軟正黑體"/>
          <w:b w:val="0"/>
          <w:i w:val="0"/>
          <w:color w:val="1E1E1E"/>
          <w:sz w:val="21"/>
        </w:rPr>
        <w:t>熟練運用普通年金終值公式（按年複利 n=43 年與按月複利 N=516 個月雙模型），並透過「22 歲早鳥僅存 10 年（本金 60 萬 ➔ 終值 2,221 萬）完勝 32 歲晚鳥苦存 33 年（本金 198 萬 ➔ 終值 1,334 萬）」之震撼對比，量化拖延 10 年高達 NT$2,221 萬元的時間複利損失。</w:t>
      </w:r>
    </w:p>
    <w:p>
      <w:pPr>
        <w:spacing w:before="0" w:after="120" w:line="331" w:lineRule="auto"/>
      </w:pPr>
      <w:r>
        <w:rPr>
          <w:rFonts w:ascii="Times New Roman" w:hAnsi="Times New Roman" w:eastAsia="微軟正黑體"/>
          <w:b/>
          <w:i w:val="0"/>
          <w:color w:val="1B365D"/>
          <w:sz w:val="21"/>
        </w:rPr>
        <w:t>3. 深化現代投資組合理論（MPT）與台灣科技業常見之雙重曝險意識：</w:t>
      </w:r>
      <w:r>
        <w:rPr>
          <w:rFonts w:ascii="Times New Roman" w:hAnsi="Times New Roman" w:eastAsia="微軟正黑體"/>
          <w:b w:val="0"/>
          <w:i w:val="0"/>
          <w:color w:val="1E1E1E"/>
          <w:sz w:val="21"/>
        </w:rPr>
        <w:t>剖析台灣未上市／準興櫃公司員工認股與上市櫃員工持股信託（ESOP）常見之「人力資本與金融資產高度正相關（ρ ≈ +1）」風險，以及未上市股權缺乏次級市場流通性折價（DLOM）。</w:t>
      </w:r>
    </w:p>
    <w:p>
      <w:pPr>
        <w:spacing w:before="0" w:after="120" w:line="331" w:lineRule="auto"/>
      </w:pPr>
      <w:r>
        <w:rPr>
          <w:rFonts w:ascii="Times New Roman" w:hAnsi="Times New Roman" w:eastAsia="微軟正黑體"/>
          <w:b/>
          <w:i w:val="0"/>
          <w:color w:val="1B365D"/>
          <w:sz w:val="21"/>
        </w:rPr>
        <w:t>4. 建立以台股市值型 ETF 為核心之長期退休資產配置邏輯：</w:t>
      </w:r>
      <w:r>
        <w:rPr>
          <w:rFonts w:ascii="Times New Roman" w:hAnsi="Times New Roman" w:eastAsia="微軟正黑體"/>
          <w:b w:val="0"/>
          <w:i w:val="0"/>
          <w:color w:val="1E1E1E"/>
          <w:sz w:val="21"/>
        </w:rPr>
        <w:t>論證為何 22 歲台灣青年應以「元大台灣 50（0050 / 006208）」搭配「中小型動能成長股 ETF（00733 / 0051）」作為核心成長引擎，並善用每月發薪定期定額之微笑曲線優勢撫平台股景氣循環波動。</w:t>
      </w:r>
    </w:p>
    <w:p>
      <w:pPr>
        <w:spacing w:before="0" w:after="120" w:line="331" w:lineRule="auto"/>
      </w:pPr>
      <w:r>
        <w:rPr>
          <w:rFonts w:ascii="Times New Roman" w:hAnsi="Times New Roman" w:eastAsia="微軟正黑體"/>
          <w:b/>
          <w:i w:val="0"/>
          <w:color w:val="1B365D"/>
          <w:sz w:val="21"/>
        </w:rPr>
        <w:t>5. 結合行為財務學推力（Nudge）與生命週期投資法（Life-Cycle Investing）：</w:t>
      </w:r>
      <w:r>
        <w:rPr>
          <w:rFonts w:ascii="Times New Roman" w:hAnsi="Times New Roman" w:eastAsia="微軟正黑體"/>
          <w:b w:val="0"/>
          <w:i w:val="0"/>
          <w:color w:val="1E1E1E"/>
          <w:sz w:val="21"/>
        </w:rPr>
        <w:t>運用諾貝爾獎得主 Richard Thaler 之「Save More Tomorrow (SMarT)」機制與四階段生命週期滑降路徑（Glide Path），完成從 22 歲至 65 歲的動態退休財務規劃。</w:t>
      </w:r>
    </w:p>
    <w:p>
      <w:pPr>
        <w:keepNext/>
        <w:spacing w:before="320" w:after="120"/>
        <w:pBdr>
          <w:bottom w:val="single" w:sz="8" w:space="3" w:color="A51C30"/>
        </w:pBdr>
      </w:pPr>
      <w:r>
        <w:rPr>
          <w:rFonts w:ascii="Times New Roman" w:hAnsi="Times New Roman" w:eastAsia="微軟正黑體"/>
          <w:b/>
          <w:i w:val="0"/>
          <w:color w:val="A51C30"/>
          <w:sz w:val="26"/>
        </w:rPr>
        <w:t>參、台灣真實退休金法規與個案設定之教學銜接說明（Taiwan Institutional Guide）</w:t>
      </w:r>
    </w:p>
    <w:tbl>
      <w:tblPr>
        <w:tblW w:type="auto" w:w="0"/>
        <w:jc w:val="center"/>
        <w:tblLook w:firstColumn="1" w:firstRow="1" w:lastColumn="0" w:lastRow="0" w:noHBand="0" w:noVBand="1" w:val="04A0"/>
      </w:tblPr>
      <w:tblGrid>
        <w:gridCol w:w="9648"/>
      </w:tblGrid>
      <w:tr>
        <w:tc>
          <w:tcPr>
            <w:tcW w:type="dxa" w:w="9648"/>
            <w:shd w:fill="F9F6F6"/>
            <w:tcMar>
              <w:top w:w="130" w:type="dxa"/>
              <w:bottom w:w="130" w:type="dxa"/>
              <w:left w:w="180" w:type="dxa"/>
              <w:right w:w="160" w:type="dxa"/>
            </w:tcMar>
            <w:tcBorders>
              <w:top w:val="single" w:sz="6" w:space="0" w:color="A51C30"/>
              <w:bottom w:val="single" w:sz="6" w:space="0" w:color="A51C30"/>
              <w:left w:val="single" w:sz="24" w:space="0" w:color="A51C30"/>
              <w:right w:val="none" w:sz="0" w:space="0" w:color="auto"/>
            </w:tcBorders>
          </w:tcPr>
          <w:p>
            <w:pPr>
              <w:spacing w:before="0" w:after="80"/>
            </w:pPr>
            <w:r>
              <w:rPr>
                <w:rFonts w:ascii="Times New Roman" w:hAnsi="Times New Roman" w:eastAsia="微軟正黑體"/>
                <w:b/>
                <w:i w:val="0"/>
                <w:color w:val="A51C30"/>
                <w:sz w:val="21"/>
              </w:rPr>
              <w:t>📌 教師法規備忘錄：台灣真實退休金三支柱 vs. 本個案整合架構解析</w:t>
            </w:r>
          </w:p>
          <w:p>
            <w:pPr>
              <w:spacing w:before="40" w:after="60" w:line="312" w:lineRule="auto"/>
            </w:pPr>
            <w:r>
              <w:rPr>
                <w:rFonts w:ascii="Times New Roman" w:hAnsi="Times New Roman" w:eastAsia="微軟正黑體"/>
                <w:b/>
                <w:i w:val="0"/>
                <w:color w:val="1B365D"/>
                <w:sz w:val="19"/>
              </w:rPr>
              <w:t>1. 為什麼本個案將「勞退自提稅盾」與「企業福利信託對等配比＋自選 ETF」結合？</w:t>
            </w:r>
            <w:r>
              <w:rPr>
                <w:rFonts w:ascii="Times New Roman" w:hAnsi="Times New Roman" w:eastAsia="微軟正黑體"/>
                <w:b w:val="0"/>
                <w:i w:val="0"/>
                <w:color w:val="1E1E1E"/>
                <w:sz w:val="19"/>
              </w:rPr>
              <w:t>在台灣現行法規下，退休理財工具分散於三個機制：①《勞工退休金條例》第 14 條規定，雇主每月強制提繳 ≥6%，且勞工可在工資 6% 內自願提繳，享「100% 全額自當年度個人綜合所得總額扣除免稅」之稅盾，但目前勞退專戶由勞動基金運用局統籌操作，尚未開放一般勞工自選 ETF（僅私校退撫儲金已開放自主投資平台）；② 台灣各大上市櫃公司與科技廠普遍設立「員工持股信託／福委會儲蓄信託」，提供員工自提、公司相對提撥 30%～100% 獎勵金（Company Match）；③ 勞工個人透過券商定期定額扣款 0050 / 00679B 等台幣 ETF。本個案採用外商與標竿企業之「整合型彈性福利退休平台」架構，讓學員能在同一張決策表上同時演練「稅盾精算、雇主 Match 套利、未上市認股風險與台幣 ETF 資產配置」！</w:t>
            </w:r>
          </w:p>
          <w:p>
            <w:pPr>
              <w:spacing w:before="40" w:after="60" w:line="312" w:lineRule="auto"/>
            </w:pPr>
            <w:r>
              <w:rPr>
                <w:rFonts w:ascii="Times New Roman" w:hAnsi="Times New Roman" w:eastAsia="微軟正黑體"/>
                <w:b/>
                <w:i w:val="0"/>
                <w:color w:val="1B365D"/>
                <w:sz w:val="19"/>
              </w:rPr>
              <w:t>2. 台灣綜所稅邊際稅率級距（5% / 12% / 20% / 30% / 40%）之課堂延伸：</w:t>
            </w:r>
            <w:r>
              <w:rPr>
                <w:rFonts w:ascii="Times New Roman" w:hAnsi="Times New Roman" w:eastAsia="微軟正黑體"/>
                <w:b w:val="0"/>
                <w:i w:val="0"/>
                <w:color w:val="1E1E1E"/>
                <w:sz w:val="19"/>
              </w:rPr>
              <w:t>本個案主角林宥辰（22 歲單身，年薪 60 萬）設定適用 12% 邊際稅率，每自提 NT$100 當期省稅 NT$12（實質自付 NT$88）。教師在 EMBA 或碩士在職專班授課時，務必引導台下年薪百萬至數百萬的中高階主管學員代入自身稅率（20%、30%、40%）：當邊際稅率為 30% 時，辦理「勞退自提 6%」每存入 NT$100，國稅局直接幫你出 NT$30，自己口袋只少 NT$70，光靠減稅盾在提撥當下就現賺 (100 - 70) ÷ 70 = +42.86% 的無風險報酬率！若為 40% 稅率級距，當期省稅報酬率更高達 (100 - 60) ÷ 60 = +66.67%！</w:t>
            </w:r>
          </w:p>
        </w:tc>
      </w:tr>
    </w:tbl>
    <w:p>
      <w:pPr>
        <w:spacing w:before="0" w:after="80"/>
      </w:pPr>
    </w:p>
    <w:p>
      <w:pPr>
        <w:keepNext/>
        <w:spacing w:before="320" w:after="120"/>
        <w:pBdr>
          <w:bottom w:val="single" w:sz="8" w:space="3" w:color="A51C30"/>
        </w:pBdr>
      </w:pPr>
      <w:r>
        <w:rPr>
          <w:rFonts w:ascii="Times New Roman" w:hAnsi="Times New Roman" w:eastAsia="微軟正黑體"/>
          <w:b/>
          <w:i w:val="0"/>
          <w:color w:val="A51C30"/>
          <w:sz w:val="26"/>
        </w:rPr>
        <w:t>肆、課堂教學節奏與五幕蘇格拉底式帶領劇本（Class Choreography &amp; Pastures）</w:t>
      </w:r>
    </w:p>
    <w:p>
      <w:pPr>
        <w:keepNext/>
        <w:spacing w:before="240" w:after="80"/>
      </w:pPr>
      <w:r>
        <w:rPr>
          <w:rFonts w:ascii="Times New Roman" w:hAnsi="Times New Roman" w:eastAsia="微軟正黑體"/>
          <w:b/>
          <w:i w:val="0"/>
          <w:color w:val="A51C30"/>
          <w:sz w:val="21"/>
        </w:rPr>
        <w:t xml:space="preserve">教學時程表（Teaching Schedule）　</w:t>
      </w:r>
      <w:r>
        <w:rPr>
          <w:rFonts w:ascii="Times New Roman" w:hAnsi="Times New Roman" w:eastAsia="微軟正黑體"/>
          <w:b/>
          <w:i w:val="0"/>
          <w:color w:val="1E1E1E"/>
          <w:sz w:val="21"/>
        </w:rPr>
        <w:t>90 分鐘精華版 ／ 180 分鐘完整版課堂五幕帶領節奏與板書對應表（台灣本土版）</w:t>
      </w:r>
    </w:p>
    <w:tbl>
      <w:tblPr>
        <w:tblW w:type="auto" w:w="0"/>
        <w:jc w:val="center"/>
        <w:tblLook w:firstColumn="1" w:firstRow="1" w:lastColumn="0" w:lastRow="0" w:noHBand="0" w:noVBand="1" w:val="04A0"/>
      </w:tblPr>
      <w:tblGrid>
        <w:gridCol w:w="2412"/>
        <w:gridCol w:w="2412"/>
        <w:gridCol w:w="2412"/>
        <w:gridCol w:w="2412"/>
      </w:tblGrid>
      <w:tr>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教學牧場 (Pasture)</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時間配比</w:t>
              <w:br/>
              <w:t>(90m / 180m)</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核心研討議題與台灣職場角色交鋒</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教師提問策略 (Cold Call / Poll) 與板書落點</w:t>
            </w:r>
          </w:p>
        </w:tc>
      </w:tr>
      <w:tr>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第一幕 (Pasture 1)</w:t>
              <w:br/>
              <w:t>破冰投票與茶水間三方辯論</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15 分鐘 /</w:t>
              <w:br/>
              <w:t>25 分鐘</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檢視學員課前對林宥辰的建議：要聽陳建宏（先提 0%）、王大衛（全押 8 折翔鷹未上市股）還是林組長（全放台幣貨幣與債券）？</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現場舉手投票統計</w:t>
              <w:br/>
              <w:t>• 點名支持各派之學員陳述理由</w:t>
              <w:br/>
              <w:t>• 建立認知衝突，切入【板書一】</w:t>
            </w:r>
          </w:p>
        </w:tc>
      </w:tr>
      <w:tr>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第二幕 (Pasture 2)</w:t>
              <w:br/>
              <w:t>五萬月薪支票解剖與 127% 套利</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20 分鐘 /</w:t>
              <w:br/>
              <w:t>35 分鐘</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深入研討【問題二】與【問題四】：拆解 NT$50,000 月薪支票，揭開雇主 5% 配比與 12% 綜所稅盾的三方出資真相。</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點名學員推導 0%～15% 新台幣薪資單</w:t>
              <w:br/>
              <w:t>• 證明「入帳 NT$5,000，口袋只少 NT$2,200」</w:t>
              <w:br/>
              <w:t>• 完成【板書一：薪資單與綜所稅盾解剖】</w:t>
            </w:r>
          </w:p>
        </w:tc>
      </w:tr>
      <w:tr>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第三幕 (Pasture 3)</w:t>
              <w:br/>
              <w:t>43 年台幣複利與早晚鳥對決</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25 分鐘 /</w:t>
              <w:br/>
              <w:t>45 分鐘</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深入研討【問題五】：對比按年（3,554 萬）與按月（4,284 萬）終值，粉碎陳建宏「等 32 歲年薪百萬再存」的迷思。</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對決：22 歲存 10 年停扣 vs. 32 歲連存 33 年</w:t>
              <w:br/>
              <w:t>• 揭曉 NT$2,221 萬 vs. NT$1,334 萬之震撼差距</w:t>
              <w:br/>
              <w:t>• 完成【板書二：台幣複利終值與拖延代價】</w:t>
            </w:r>
          </w:p>
        </w:tc>
      </w:tr>
      <w:tr>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第四幕 (Pasture 4)</w:t>
              <w:br/>
              <w:t>八折未上市股陷阱與 0050 優勢</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15 分鐘 /</w:t>
              <w:br/>
              <w:t>40 分鐘</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深入研討【問題一】與【問題三】：剖析未上市八折認股之 DLOM 流動性折價與雙重曝險，確立 0050 核心地位。</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追問：為何 8 折買自家未上市股不是穩賺？</w:t>
              <w:br/>
              <w:t>• 對比單一航太廠 vs. 0050 護國神山群分散效益</w:t>
              <w:br/>
              <w:t>• 完成【板書三：風險矩陣與雙重曝險】</w:t>
            </w:r>
          </w:p>
        </w:tc>
      </w:tr>
      <w:tr>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第五幕 (Pasture 5)</w:t>
              <w:br/>
              <w:t>SMarT 機制、Glide Path 與勞退自提</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15 分鐘 /</w:t>
              <w:br/>
              <w:t>35 分鐘</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深入研討【問題六】並延伸至學員自身報稅實務：設計 22～65 歲台幣 ETF 滑降組合與勞退自提 6% 行動方案。</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建構 E(R_p)=10.38% 台幣組合與 Glide Path</w:t>
              <w:br/>
              <w:t>• 現場試算 EMBA 學員個人勞退自提 6% 省稅額</w:t>
              <w:br/>
              <w:t>• 完成【板書四】並揭示個案 Epilogue</w:t>
            </w:r>
          </w:p>
        </w:tc>
      </w:tr>
    </w:tbl>
    <w:p>
      <w:pPr>
        <w:spacing w:before="0" w:after="80"/>
      </w:pPr>
    </w:p>
    <w:p>
      <w:pPr>
        <w:keepNext/>
        <w:spacing w:before="220" w:after="80"/>
      </w:pPr>
      <w:r>
        <w:rPr>
          <w:rFonts w:ascii="Times New Roman" w:hAnsi="Times New Roman" w:eastAsia="微軟正黑體"/>
          <w:b/>
          <w:i w:val="0"/>
          <w:color w:val="1B365D"/>
          <w:sz w:val="22"/>
        </w:rPr>
        <w:t>4.1 分幕蘇格拉底式提問腳本與轉場話術（Detailed Questioning Script）</w:t>
      </w:r>
    </w:p>
    <w:p>
      <w:pPr>
        <w:spacing w:before="0" w:after="160" w:line="331" w:lineRule="auto"/>
      </w:pPr>
      <w:r>
        <w:rPr>
          <w:rFonts w:ascii="Times New Roman" w:hAnsi="Times New Roman" w:eastAsia="微軟正黑體"/>
          <w:b/>
          <w:i w:val="0"/>
          <w:color w:val="1B365D"/>
          <w:sz w:val="21"/>
        </w:rPr>
        <w:t>🎬 第一幕（Pasture 1）：破冰點名與茶水間三方交鋒（0–15m / 0–25m）</w:t>
        <w:br/>
      </w:r>
      <w:r>
        <w:rPr>
          <w:rFonts w:ascii="Times New Roman" w:hAnsi="Times New Roman" w:eastAsia="微軟正黑體"/>
          <w:b w:val="0"/>
          <w:i w:val="0"/>
          <w:color w:val="1E1E1E"/>
          <w:sz w:val="21"/>
        </w:rPr>
        <w:t>• 【開場破冰投票（Classroom Poll）】：教師在白板寫下茶水間三位同事的主張——陳建宏（五萬月薪太緊，自提 0%，等 32 歲破百萬再存）、王大衛（100% 全買打八折的翔鷹航太未上市股票賭 IPO 翻倍）、林組長（養老錢不能虧，100% 買台幣貨幣市場與債券基金）。詢問全班：「如果你是 22 歲剛進翔鷹航太、月薪五萬的林宥辰，你會勾選自提幾 %？會不會把翔鷹航太內部股票配超過 20%？」</w:t>
        <w:br/>
        <w:t>• 【教師轉場話術】：「陳建宏說台中租房加學貸很貴、王大衛說無人機國家隊準備 IPO 打八折不買可惜、林組長說 2022 年台股跌五千點很可怕——這三個人講的話，是不是每天都在我們台灣公司的茶水間和 LINE 群組裡上演？現在，我們用財務部張凱文副理要求的硬核數字，一個一個來檢驗！」</w:t>
      </w:r>
    </w:p>
    <w:p>
      <w:pPr>
        <w:spacing w:before="0" w:after="160" w:line="331" w:lineRule="auto"/>
      </w:pPr>
      <w:r>
        <w:rPr>
          <w:rFonts w:ascii="Times New Roman" w:hAnsi="Times New Roman" w:eastAsia="微軟正黑體"/>
          <w:b/>
          <w:i w:val="0"/>
          <w:color w:val="1B365D"/>
          <w:sz w:val="21"/>
        </w:rPr>
        <w:t>🎬 第二幕（Pasture 2）：NT$50,000 薪資單解剖與 +127.27% 稅後即時報酬（15–35m / 25–60m）</w:t>
        <w:br/>
      </w:r>
      <w:r>
        <w:rPr>
          <w:rFonts w:ascii="Times New Roman" w:hAnsi="Times New Roman" w:eastAsia="微軟正黑體"/>
          <w:b w:val="0"/>
          <w:i w:val="0"/>
          <w:color w:val="1E1E1E"/>
          <w:sz w:val="21"/>
        </w:rPr>
        <w:t>• 【核心追問 1（針對問題二）】：『在月薪 5%（NT$2,500）額度內，宥辰每自提 1 元，翔鷹航太就免費送他 1 元。請問名目即時報酬率是多少？（100%！）全台灣有沒有任何一檔定存或高股息 ETF，能在買進一秒鐘內零風險賺 100%？沒有！那如果宥辰聽陳建宏的話勾選自提 0%，他等於每年白白把多少錢退還給林董事長？』（每年白白放棄 NT$30,000 元免費加薪！）。</w:t>
        <w:br/>
        <w:t>• 【核心追問 2（針對問題四）】：『陳建宏哭窮說：月薪五萬如果去自提 5%（NT$2,500），每個月口袋就少掉 NT$2,500，連跟女友吃屋馬燒肉的錢都沒了。請問陳建宏的稅務算術對嗎？在 12% 綜所稅率下，宥辰自提 NT$2,500，當月實拿薪資真正少掉多少錢？』</w:t>
        <w:br/>
        <w:t>• 【板書推導亮點】：不參加時應納稅額 = NT$50,000 × 12% = NT$6,000，基準實拿 = NT$44,000；自提 5%（NT$2,500）後，課稅所得降為 NT$47,500，應納稅額降為 NT$5,700（財政部國稅局當月少收了 NT$300 所得稅！），實拿薪資為 NT$41,800——口袋只少了 NT$2,200 元！板書列出黃金等式：【自己實掏 NT$2,200 (44%) ＋ 國稅局減稅補貼 NT$300 (6%) ＋ 公司免費贈送 NT$2,500 (50%) ＝ 退休帳戶立即入帳 NT$5,000！】以實質犧牲的 NT$2,200 為分母，稅後實質即時報酬率高達 (5,000 - 2,200) ÷ 2,200 = +127.27%（放大 2.27 倍）！</w:t>
      </w:r>
    </w:p>
    <w:p>
      <w:pPr>
        <w:spacing w:before="0" w:after="160" w:line="331" w:lineRule="auto"/>
      </w:pPr>
      <w:r>
        <w:rPr>
          <w:rFonts w:ascii="Times New Roman" w:hAnsi="Times New Roman" w:eastAsia="微軟正黑體"/>
          <w:b/>
          <w:i w:val="0"/>
          <w:color w:val="1B365D"/>
          <w:sz w:val="21"/>
        </w:rPr>
        <w:t>🎬 第三幕（Pasture 3）：43 年千萬財富複利與「早鳥 vs. 晚鳥」殘酷對決（35–60m / 60–105m）</w:t>
        <w:br/>
      </w:r>
      <w:r>
        <w:rPr>
          <w:rFonts w:ascii="Times New Roman" w:hAnsi="Times New Roman" w:eastAsia="微軟正黑體"/>
          <w:b w:val="0"/>
          <w:i w:val="0"/>
          <w:color w:val="1E1E1E"/>
          <w:sz w:val="21"/>
        </w:rPr>
        <w:t>• 【核心追問 1（針對問題五）】：『宥辰每個月只少花 NT$2,200 元（每天少喝一杯 70 元手搖飲），讓退休專戶每月存入 NT$5,000（每年 NT$60,000）。若投入年化報酬率 10% 的台股 ETF 組合滾存 43 年到 65 歲退休，按年複利與按月複利分別會累積多少新台幣？』</w:t>
        <w:br/>
        <w:t>• 【數據震撼】：按年複利（n=43）終值高達 NT$35,544,041 元（3,554 萬新台幣！），若採每月發薪扣款之按月複利（N=516），終值更高達 NT$42,838,955 元（4,284 萬新台幣！）——而這 43 年間，宥辰自己從稅後口袋真正掏出的總成本只有 NT$2,200 × 516 個月 = NT$1,135,200 元（113.5 萬元）！用 113.5 萬換取 3,554 萬～4,284 萬退休金！</w:t>
        <w:br/>
        <w:t>• 【核心追問 2（早鳥 vs. 晚鳥對決）】：『那如果聽陳建宏的話，等 32 歲再開始存呢？我們來算：宥辰當「早鳥」，22 歲到 32 歲每年存 6 萬（個人實付僅 2.64 萬/年），只存 10 年就完全停扣，讓帳戶自己滾 33 年到 65 歲；陳建宏當「晚鳥」，22 到 32 歲不存，從 32 歲才開始每年存 6 萬，一路苦存 33 年到 65 歲。在 10% 報酬率下，誰退休時比較有錢？』</w:t>
        <w:br/>
        <w:t>• 【高潮揭曉】：早鳥宥辰只存 10 年（總名目本金僅 60 萬，個人稅後實付僅 26.4 萬），32 歲時帳戶累積 NT$956,245 元，繼續滾存 33 年後，65 歲終值高達 NT$22,208,949 元（2,221 萬元）！反觀晚鳥陳建宏苦存 33 年（總名目本金高達 198 萬，是早鳥的 3.3 倍），65 歲終值卻只有 NT$13,335,093 元（1,334 萬元），足足輸給早鳥 NT$887.4 萬元！</w:t>
      </w:r>
    </w:p>
    <w:p>
      <w:pPr>
        <w:spacing w:before="0" w:after="160" w:line="331" w:lineRule="auto"/>
      </w:pPr>
      <w:r>
        <w:rPr>
          <w:rFonts w:ascii="Times New Roman" w:hAnsi="Times New Roman" w:eastAsia="微軟正黑體"/>
          <w:b/>
          <w:i w:val="0"/>
          <w:color w:val="1B365D"/>
          <w:sz w:val="21"/>
        </w:rPr>
        <w:t>🎬 第四幕（Pasture 4）：戳破八折未上市認股幻覺與 0050 大型股優勢（60–75m / 105–145m）</w:t>
        <w:br/>
      </w:r>
      <w:r>
        <w:rPr>
          <w:rFonts w:ascii="Times New Roman" w:hAnsi="Times New Roman" w:eastAsia="微軟正黑體"/>
          <w:b w:val="0"/>
          <w:i w:val="0"/>
          <w:color w:val="1E1E1E"/>
          <w:sz w:val="21"/>
        </w:rPr>
        <w:t>• 【核心追問（針對問題一與問題三）】：『再看王大衛工程師的建議：把退休金 100% 拿去買打八折的翔鷹航太未上市內部股票！台灣很多科技廠或準興櫃公司員工最愛認購自家未上市股，請問這有什麼致命陷阱？』</w:t>
        <w:br/>
        <w:t>• 【理論收斂】：(1) 缺乏市場流通性折價（DLOM）：未上市未興櫃股票沒有公開市場買盤，評價實務上本來就要打 7 折～8 折，公司的 8 折只是剛好補償你無法變現的風險；(2) 估值主觀性：每年僅年底會計師鑑價一次；(3) 零分散度；(4) 最致命的「人力資本雙重曝險（The Enron Effect）」——台灣歷史上如博達、茂德、力晶或無數未能成功上市的科技廠，一旦訂單流失或 IPO 失敗，員工將面臨「中年失業＋退休金股票變壁紙」的雙重毀滅打擊！反觀「元大台灣 50（0050）」囊括台積電、鴻海、聯發科等前 50 大市值龍頭，具備自動汰弱留強機制與極低費用率（0.10%），且 22 歲年輕人透過每月定期定額扣款，遇到 2022 年台股回檔反而能低檔累積更多單位數，創造微笑曲線！</w:t>
      </w:r>
    </w:p>
    <w:p>
      <w:pPr>
        <w:spacing w:before="0" w:after="160" w:line="331" w:lineRule="auto"/>
      </w:pPr>
      <w:r>
        <w:rPr>
          <w:rFonts w:ascii="Times New Roman" w:hAnsi="Times New Roman" w:eastAsia="微軟正黑體"/>
          <w:b/>
          <w:i w:val="0"/>
          <w:color w:val="1B365D"/>
          <w:sz w:val="21"/>
        </w:rPr>
        <w:t>🎬 第五幕（Pasture 5）：SMarT 動態提撥與台幣 ETF 生命週期滑降路徑（75–90m / 145–180m）</w:t>
        <w:br/>
      </w:r>
      <w:r>
        <w:rPr>
          <w:rFonts w:ascii="Times New Roman" w:hAnsi="Times New Roman" w:eastAsia="微軟正黑體"/>
          <w:b w:val="0"/>
          <w:i w:val="0"/>
          <w:color w:val="1E1E1E"/>
          <w:sz w:val="21"/>
        </w:rPr>
        <w:t>• 【建構最佳解（針對問題六）】：(1) 提撥策略：第 1 年自提 5%（月付實質成本 NT$2,200）吃滿公司 5% 對等獎勵金，並簽署 SMarT 條款每年隨調薪自動加提 2% 直至 15%；(2) 22 歲初始配置：65% 元大台灣 50（0050）+ 25% 富邦台灣中小動能成長（00733）+ 5% 元大投資級債券基金（00679B/00720B）+ 5% 翔鷹航太內部股票（組合預期年化報酬率 E(R_p) = 10.38%）；(3) 規劃 22 歲 ➔ 65 歲四階段 Glide Path 滑降曲線與年底免稅再平衡紀律。</w:t>
      </w:r>
    </w:p>
    <w:p>
      <w:pPr>
        <w:keepNext/>
        <w:spacing w:before="320" w:after="120"/>
        <w:pBdr>
          <w:bottom w:val="single" w:sz="8" w:space="3" w:color="A51C30"/>
        </w:pBdr>
      </w:pPr>
      <w:r>
        <w:rPr>
          <w:rFonts w:ascii="Times New Roman" w:hAnsi="Times New Roman" w:eastAsia="微軟正黑體"/>
          <w:b/>
          <w:i w:val="0"/>
          <w:color w:val="A51C30"/>
          <w:sz w:val="26"/>
        </w:rPr>
        <w:t>伍、哈佛標準四區黑板板書設計藍圖（4-Zone Classroom Board Plan）</w:t>
      </w:r>
    </w:p>
    <w:p>
      <w:pPr>
        <w:keepNext/>
        <w:spacing w:before="240" w:after="80"/>
      </w:pPr>
      <w:r>
        <w:rPr>
          <w:rFonts w:ascii="Times New Roman" w:hAnsi="Times New Roman" w:eastAsia="微軟正黑體"/>
          <w:b/>
          <w:i w:val="0"/>
          <w:color w:val="A51C30"/>
          <w:sz w:val="21"/>
        </w:rPr>
        <w:t xml:space="preserve">板書藍圖（Board Plan）　</w:t>
      </w:r>
      <w:r>
        <w:rPr>
          <w:rFonts w:ascii="Times New Roman" w:hAnsi="Times New Roman" w:eastAsia="微軟正黑體"/>
          <w:b/>
          <w:i w:val="0"/>
          <w:color w:val="1E1E1E"/>
          <w:sz w:val="21"/>
        </w:rPr>
        <w:t>課堂四象限板書結構與關鍵新台幣數字落點</w:t>
      </w:r>
    </w:p>
    <w:tbl>
      <w:tblPr>
        <w:tblW w:type="auto" w:w="0"/>
        <w:jc w:val="center"/>
        <w:tblLook w:firstColumn="1" w:firstRow="1" w:lastColumn="0" w:lastRow="0" w:noHBand="0" w:noVBand="1" w:val="04A0"/>
      </w:tblPr>
      <w:tblGrid>
        <w:gridCol w:w="3216"/>
        <w:gridCol w:w="3216"/>
        <w:gridCol w:w="3216"/>
      </w:tblGrid>
      <w:tr>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板書象限</w:t>
            </w:r>
          </w:p>
        </w:tc>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象限主題標題</w:t>
            </w:r>
          </w:p>
        </w:tc>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核心板書結構與關鍵新台幣數字摘要</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1B365D"/>
                <w:sz w:val="18"/>
              </w:rPr>
              <w:t>第一象限（左上）</w:t>
              <w:br/>
              <w:t>Board 1</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五萬月薪支票解剖與稅盾套利</w:t>
              <w:br/>
              <w:t>(The Paycheck Anatomy)</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月薪 NT$50,000 | 綜所稅率 T = 12% | 基準實拿 = NT$44,000</w:t>
              <w:br/>
              <w:t>• 方案 B (自提 5% = NT$2,500/月)：</w:t>
              <w:br/>
              <w:t xml:space="preserve">  - 自己實拿減少：NT$2,200 (佔 44.0%)</w:t>
              <w:br/>
              <w:t xml:space="preserve">  - 國稅局減稅盾：+NT$300 (佔 6.0%)</w:t>
              <w:br/>
              <w:t xml:space="preserve">  - 雇主對等配比：+NT$2,500 (佔 50.0%)</w:t>
              <w:br/>
              <w:t xml:space="preserve">  ➔ 帳戶每月入帳：NT$5,000 (NT$60,000/年)</w:t>
              <w:br/>
              <w:t>• 即時報酬：名目 +100% | 稅後實質 +127.27% (放大 2.27 倍)！</w:t>
              <w:br/>
              <w:t xml:space="preserve">  *(若稅率升至 20% ➔ 實質 +150%；稅率 30% ➔ 實質 +185.7%)*</w:t>
            </w:r>
          </w:p>
        </w:tc>
      </w:tr>
      <w:tr>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1B365D"/>
                <w:sz w:val="18"/>
              </w:rPr>
              <w:t>第二象限（右上）</w:t>
              <w:br/>
              <w:t>Board 2</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43 年千萬複利與早晚鳥對決</w:t>
              <w:br/>
              <w:t>(Compounding &amp; Delay Cost)</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方案 B (5%+5%, r=10%)：按年 3,554 萬 / 按月 4,284 萬</w:t>
              <w:br/>
              <w:t>• 方案 C (10%+5%, r=10%)：按年 5,332 萬 / 按月 6,426 萬</w:t>
              <w:br/>
              <w:t>• 方案 D (15%+5%, r=10%)：按年 7,109 萬 / 按月 8,568 萬</w:t>
              <w:br/>
              <w:t>• 【殘酷對決 (r=10% 按年)】：</w:t>
              <w:br/>
              <w:t xml:space="preserve">  - 早鳥宥辰 (22~32歲存10年, 本金 60萬) ➔ 65歲 NT$2,221 萬</w:t>
              <w:br/>
              <w:t xml:space="preserve">  - 晚鳥建宏 (32~65歲存33年, 本金 198萬) ➔ 65歲 NT$1,334 萬</w:t>
              <w:br/>
              <w:t xml:space="preserve">  ➔ 晚 10 年起步直接痛失 NT$2,221 萬時間複利！</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1B365D"/>
                <w:sz w:val="18"/>
              </w:rPr>
              <w:t>第三象限（左下）</w:t>
              <w:br/>
              <w:t>Board 3</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台股 ETF vs. 未上市內部股</w:t>
              <w:br/>
              <w:t>(Double Jeopardy &amp; DLOM)</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台股 0050 指數基金：跨 50 大龍頭分散 + 每日公開市價申贖</w:t>
              <w:br/>
              <w:t>• 翔鷹航太未上市股三大陷阱：</w:t>
              <w:br/>
              <w:t xml:space="preserve">  1. 零分散度 (單一無人機／輕型航太風險)</w:t>
              <w:br/>
              <w:t xml:space="preserve">  2. 無次級市場 (DLOM 非流動性折價 20%~35% 抵銷 8 折優惠)</w:t>
              <w:br/>
              <w:t xml:space="preserve">  3. 人力資本正相關 (ρ ≈ +1)：失業 + 股票變壁紙雙殺</w:t>
              <w:br/>
              <w:t>➔ 決策鐵律：未上市雇主股票嚴格限制 ≤ 5%！</w:t>
            </w:r>
          </w:p>
        </w:tc>
      </w:tr>
      <w:tr>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1B365D"/>
                <w:sz w:val="18"/>
              </w:rPr>
              <w:t>第四象限（右下）</w:t>
              <w:br/>
              <w:t>Board 4</w:t>
            </w:r>
          </w:p>
        </w:tc>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SMarT 策略與台幣 ETF 滑降</w:t>
              <w:br/>
              <w:t>(Optimal Portfolio &amp; Glide Path)</w:t>
            </w:r>
          </w:p>
        </w:tc>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提撥策略：第 1 年自提 5% 保底 + SMarT 每年調薪自動 +2%</w:t>
              <w:br/>
              <w:t>• 22 歲初始組合 (E(R_p) = 10.38%)：</w:t>
              <w:br/>
              <w:t xml:space="preserve">  - 65% 元大台灣 50 (0050 核心基石, 費率 0.10%)</w:t>
              <w:br/>
              <w:t xml:space="preserve">  - 25% 富邦台灣中小動能 (00733 成長引擎)</w:t>
              <w:br/>
              <w:t xml:space="preserve">  - 5% 元大投資級債券基金 (00679B 再平衡穩定錨)</w:t>
              <w:br/>
              <w:t xml:space="preserve">  - 5% 翔鷹航太內部股 (IPO 掛牌後立即獲利了結轉入 0050)</w:t>
              <w:br/>
              <w:t>• Glide Path：22歲(90%股) ➔ 40歲(80%股) ➔ 55歲(55%股) ➔ 65歲(40%股)</w:t>
            </w:r>
          </w:p>
        </w:tc>
      </w:tr>
    </w:tbl>
    <w:p>
      <w:pPr>
        <w:spacing w:before="0" w:after="80"/>
      </w:pPr>
    </w:p>
    <w:p>
      <w:pPr>
        <w:keepNext/>
        <w:spacing w:before="320" w:after="120"/>
        <w:pBdr>
          <w:bottom w:val="single" w:sz="8" w:space="3" w:color="A51C30"/>
        </w:pBdr>
      </w:pPr>
      <w:r>
        <w:rPr>
          <w:rFonts w:ascii="Times New Roman" w:hAnsi="Times New Roman" w:eastAsia="微軟正黑體"/>
          <w:b/>
          <w:i w:val="0"/>
          <w:color w:val="A51C30"/>
          <w:sz w:val="26"/>
        </w:rPr>
        <w:t>陸、個案結尾後記（Case Epilogue——供教師於下課前最後兩分鐘揭曉）</w:t>
      </w:r>
    </w:p>
    <w:p>
      <w:pPr>
        <w:spacing w:before="0" w:after="120" w:line="331" w:lineRule="auto"/>
      </w:pPr>
      <w:r>
        <w:rPr>
          <w:rFonts w:ascii="Times New Roman" w:hAnsi="Times New Roman" w:eastAsia="微軟正黑體"/>
          <w:b w:val="0"/>
          <w:i w:val="0"/>
          <w:color w:val="1E1E1E"/>
          <w:sz w:val="21"/>
        </w:rPr>
        <w:t>週五下午四點半，林宥辰將長達六頁的新台幣量化分析備忘錄與勾選表交給了張凱文副理。宥辰決定首年自提 5%（每月實質僅少領 NT$2,200，換取每月 NT$5,000 入帳），簽署每年調薪自動加提 2% 的 SMarT 條款，並將初始資金配置為 65% 元大台灣 50（0050）、25% 富邦台灣中小動能（00733）、5% 投資級債券基金與 5% 翔鷹航太內部股票。四年後，翔鷹航太順利於台灣證券交易所創新板掛牌上市，宥辰手中 5% 的內部股票部位翻了 2.6 倍，他隨即在閉鎖期滿當月全數獲利了結並轉入 0050 指數基金；反觀當年堅持「五萬月薪不夠花、自提 0%」的同梯業務陳建宏，四年下來不僅白白放棄了公司發放的 NT$120,000 元免費對等獎勵金，更錯失了期間台灣 50 指數含息大漲逾 65% 的龐大複利列車。</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微軟正黑體"/>
        <w:color w:val="7F8C8D"/>
        <w:sz w:val="17"/>
      </w:rPr>
      <w:t>Copyright © 115學年度 碩士在職專班「領導與管理／財務管理」台灣本土化哈佛個案系列．翻印必究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微軟正黑體"/>
        <w:color w:val="7F8C8D"/>
        <w:sz w:val="17"/>
      </w:rPr>
      <w:t>HARVARD BUSINESS SCHOOL CASE METHOD (TAIWAN EDITION)  |  HBS-FIN-11501-TWTN1  (TAIWAN INSTRUCTOR TEACHING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