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824"/>
        <w:gridCol w:w="4824"/>
      </w:tblGrid>
      <w:tr>
        <w:tc>
          <w:tcPr>
            <w:tcW w:type="dxa" w:w="4824"/>
            <w:tcMar>
              <w:top w:w="40" w:type="dxa"/>
              <w:bottom w:w="60" w:type="dxa"/>
              <w:left w:w="0" w:type="dxa"/>
              <w:right w:w="0" w:type="dxa"/>
            </w:tcMar>
            <w:tcBorders>
              <w:top w:val="none" w:sz="0" w:space="0" w:color="auto"/>
              <w:bottom w:val="single" w:sz="18" w:space="0" w:color="A51C30"/>
              <w:left w:val="none" w:sz="0" w:space="0" w:color="auto"/>
              <w:right w:val="none" w:sz="0" w:space="0" w:color="auto"/>
            </w:tcBorders>
          </w:tcPr>
          <w:p>
            <w:pPr>
              <w:spacing w:before="0" w:after="0"/>
            </w:pPr>
            <w:r>
              <w:rPr>
                <w:rFonts w:ascii="Times New Roman" w:hAnsi="Times New Roman" w:eastAsia="微軟正黑體"/>
                <w:b/>
                <w:i w:val="0"/>
                <w:color w:val="A51C30"/>
                <w:sz w:val="18"/>
              </w:rPr>
              <w:t>HARVARD BUSINESS SCHOOL STYLE CASE SERIES (TAIWAN LOCALIZED)</w:t>
              <w:br/>
              <w:t>TAIWAN CORPORATE FINANCE &amp; RETIREMENT WEALTH SERIES | 台灣企業財務與退休理財決策個案</w:t>
            </w:r>
          </w:p>
        </w:tc>
        <w:tc>
          <w:tcPr>
            <w:tcW w:type="dxa" w:w="4824"/>
            <w:tcMar>
              <w:top w:w="40" w:type="dxa"/>
              <w:bottom w:w="60" w:type="dxa"/>
              <w:left w:w="0" w:type="dxa"/>
              <w:right w:w="0" w:type="dxa"/>
            </w:tcMar>
            <w:tcBorders>
              <w:top w:val="none" w:sz="0" w:space="0" w:color="auto"/>
              <w:bottom w:val="single" w:sz="18" w:space="0" w:color="A51C30"/>
              <w:left w:val="none" w:sz="0" w:space="0" w:color="auto"/>
              <w:right w:val="none" w:sz="0" w:space="0" w:color="auto"/>
            </w:tcBorders>
          </w:tcPr>
          <w:p>
            <w:pPr>
              <w:spacing w:before="0" w:after="0"/>
              <w:jc w:val="right"/>
            </w:pPr>
            <w:r>
              <w:rPr>
                <w:rFonts w:ascii="Times New Roman" w:hAnsi="Times New Roman" w:eastAsia="微軟正黑體"/>
                <w:b/>
                <w:i w:val="0"/>
                <w:color w:val="595959"/>
                <w:sz w:val="18"/>
              </w:rPr>
              <w:t>文件編號：HBS-FIN-11501-TW01</w:t>
              <w:br/>
              <w:t>修訂日期：2026年10月 台灣本土制度版</w:t>
            </w:r>
          </w:p>
        </w:tc>
      </w:tr>
    </w:tbl>
    <w:p>
      <w:pPr>
        <w:spacing w:before="280" w:after="80"/>
      </w:pPr>
      <w:r>
        <w:rPr>
          <w:rFonts w:ascii="Times New Roman" w:hAnsi="Times New Roman" w:eastAsia="微軟正黑體"/>
          <w:b/>
          <w:i w:val="0"/>
          <w:color w:val="1E1E1E"/>
          <w:sz w:val="36"/>
        </w:rPr>
        <w:t>翔鷹航太科技（AeroTaiwan）：新進財務分析師的勞退自提、員工福利信託與台幣 ETF 資產配置抉擇</w:t>
      </w:r>
    </w:p>
    <w:p>
      <w:pPr>
        <w:spacing w:before="0" w:after="160"/>
      </w:pPr>
      <w:r>
        <w:rPr>
          <w:rFonts w:ascii="Times New Roman" w:hAnsi="Times New Roman" w:eastAsia="微軟正黑體"/>
          <w:b w:val="0"/>
          <w:i/>
          <w:color w:val="595959"/>
          <w:sz w:val="21"/>
        </w:rPr>
        <w:t>AeroTaiwan Corp.: Labor Pension Voluntary Contribution, Employee Trust Match, and TWD ETF Portfolio Allocation</w:t>
      </w:r>
    </w:p>
    <w:p>
      <w:pPr>
        <w:spacing w:before="0" w:after="240"/>
        <w:pBdr>
          <w:bottom w:val="single" w:sz="6" w:space="6" w:color="CCCCCC"/>
        </w:pBdr>
      </w:pPr>
      <w:r>
        <w:rPr>
          <w:rFonts w:ascii="Times New Roman" w:hAnsi="Times New Roman" w:eastAsia="微軟正黑體"/>
          <w:b w:val="0"/>
          <w:i/>
          <w:color w:val="595959"/>
          <w:sz w:val="17"/>
        </w:rPr>
        <w:t>本個案結合 Ross, Westerfield, Jaffe《Corporate Finance》經典分析架構與台灣《勞工退休金條例》、台灣綜合所得稅法、企業員工福利儲蓄信託（ESOP/Retirement Trust）及台灣證券交易所 ETF 商品實務編撰而成。個案場景專供課堂決策研討使用，並非針對特定企業管理良窳之評價。</w:t>
      </w:r>
    </w:p>
    <w:tbl>
      <w:tblPr>
        <w:tblW w:type="auto" w:w="0"/>
        <w:jc w:val="center"/>
        <w:tblLook w:firstColumn="1" w:firstRow="1" w:lastColumn="0" w:lastRow="0" w:noHBand="0" w:noVBand="1" w:val="04A0"/>
      </w:tblPr>
      <w:tblGrid>
        <w:gridCol w:w="9648"/>
      </w:tblGrid>
      <w:tr>
        <w:tc>
          <w:tcPr>
            <w:tcW w:type="dxa" w:w="9648"/>
            <w:shd w:fill="F9F6F6"/>
            <w:tcMar>
              <w:top w:w="120" w:type="dxa"/>
              <w:bottom w:w="120" w:type="dxa"/>
              <w:left w:w="220" w:type="dxa"/>
              <w:right w:w="180" w:type="dxa"/>
            </w:tcMar>
            <w:tcBorders>
              <w:top w:val="none" w:sz="0" w:space="0" w:color="auto"/>
              <w:bottom w:val="none" w:sz="0" w:space="0" w:color="auto"/>
              <w:left w:val="single" w:sz="24" w:space="0" w:color="A51C30"/>
              <w:right w:val="none" w:sz="0" w:space="0" w:color="auto"/>
            </w:tcBorders>
          </w:tcPr>
          <w:p>
            <w:pPr>
              <w:spacing w:before="0" w:after="80" w:line="324" w:lineRule="auto"/>
            </w:pPr>
            <w:r>
              <w:rPr>
                <w:rFonts w:ascii="Times New Roman" w:hAnsi="Times New Roman" w:eastAsia="微軟正黑體"/>
                <w:b w:val="0"/>
                <w:i/>
                <w:color w:val="1E1E1E"/>
                <w:sz w:val="20"/>
              </w:rPr>
              <w:t>「宥辰，別把這張《翔鷹航太員工自主退休儲蓄與福利信託計畫勾選單》當成普通的人事表格。既然你是國立大學財金系高材生，這張結合了『稅前自提減稅盾』、『公司 5% 對等補助獎勵金』與『五大台幣 ETF 暨未上市員工認股配置』的申請書，就是你在翔鷹航太動用財務專業做出的第一個、也是影響你 65 歲退休時擁有幾千萬身價的關鍵決策。本週五下午五點前，請連同你的量化分析備忘錄一起交給我。」</w:t>
            </w:r>
          </w:p>
          <w:p>
            <w:pPr>
              <w:spacing w:before="0" w:after="0"/>
              <w:jc w:val="right"/>
            </w:pPr>
            <w:r>
              <w:rPr>
                <w:rFonts w:ascii="Times New Roman" w:hAnsi="Times New Roman" w:eastAsia="微軟正黑體"/>
                <w:b/>
                <w:i w:val="0"/>
                <w:color w:val="A51C30"/>
                <w:sz w:val="19"/>
              </w:rPr>
              <w:t>—— 張凱文（Kevin Chang），翔鷹航太科技財務部資深財務副理</w:t>
            </w:r>
          </w:p>
        </w:tc>
      </w:tr>
    </w:tbl>
    <w:p>
      <w:pPr>
        <w:spacing w:before="0" w:after="80"/>
      </w:pPr>
    </w:p>
    <w:p>
      <w:pPr>
        <w:spacing w:before="0" w:after="120" w:line="331" w:lineRule="auto"/>
      </w:pPr>
      <w:r>
        <w:rPr>
          <w:rFonts w:ascii="Times New Roman" w:hAnsi="Times New Roman" w:eastAsia="微軟正黑體"/>
          <w:b w:val="0"/>
          <w:i w:val="0"/>
          <w:color w:val="1E1E1E"/>
          <w:sz w:val="21"/>
        </w:rPr>
        <w:t>台中市南屯區精密機械科技創新園區十月中旬的週一上午，秋日陽光灑進「翔鷹航太科技股份有限公司（AeroTaiwan Corp.）」總部三樓的財務部辦公室。現年 22 歲、剛從國立大學財務金融學系畢業並完成兵役的林宥辰（Yu-Chen Lin），正坐在他嶄新的辦公桌前，凝視著桌上那份由受託機構「元大金控暨富達退休資產管理平台」印製的《翔鷹航太自主退休儲蓄與企業對等福利信託計畫指南》。</w:t>
      </w:r>
    </w:p>
    <w:p>
      <w:pPr>
        <w:spacing w:before="0" w:after="120" w:line="331" w:lineRule="auto"/>
      </w:pPr>
      <w:r>
        <w:rPr>
          <w:rFonts w:ascii="Times New Roman" w:hAnsi="Times New Roman" w:eastAsia="微軟正黑體"/>
          <w:b w:val="0"/>
          <w:i w:val="0"/>
          <w:color w:val="1E1E1E"/>
          <w:sz w:val="21"/>
        </w:rPr>
        <w:t>這是宥辰踏入台灣科技製造業職場的第一天。經過三輪嚴格的財務報表分析筆試與高階主管面試，他順利錄取翔鷹航太財務部的初階財務分析師，核定起始年薪為新台幣 600,000 元（折合每月稅前全薪 NT$50,000 元，適用台灣個人綜合所得稅邊際稅率 12.0%）。五分鐘前，曾任職於竹科半導體龍頭廠財務部的直屬主管張凱文副理走進隔間，除了歡迎他加入團隊，更給了他一項入職實戰任務——在週五下午五點向人資室提交勾選表前，宥辰必須針對張副理列出的六道核心財務問題（見【附錄四】）完成精算推導。</w:t>
      </w:r>
    </w:p>
    <w:p>
      <w:pPr>
        <w:spacing w:before="0" w:after="120" w:line="331" w:lineRule="auto"/>
      </w:pPr>
      <w:r>
        <w:rPr>
          <w:rFonts w:ascii="Times New Roman" w:hAnsi="Times New Roman" w:eastAsia="微軟正黑體"/>
          <w:b w:val="0"/>
          <w:i w:val="0"/>
          <w:color w:val="1E1E1E"/>
          <w:sz w:val="21"/>
        </w:rPr>
        <w:t>然而，當宥辰翻開制度手冊並走進茶水間聽取同事們的建議後，他發現這道決策題背後，隱藏著台灣年輕上班族最真實的痛點：面對每月五萬元起薪與房租學貸開銷，究竟該不該為了「節稅與雇主對等補貼」而犧牲當下實拿現金？面對公司提供「打八折認購自家未上市準興櫃股票」的誘惑，又該買進自家公司股票，還是配置於元大台灣 50（0050）等台股 ETF？</w:t>
      </w:r>
    </w:p>
    <w:p>
      <w:pPr>
        <w:keepNext/>
        <w:spacing w:before="320" w:after="120"/>
        <w:pBdr>
          <w:bottom w:val="single" w:sz="8" w:space="3" w:color="A51C30"/>
        </w:pBdr>
      </w:pPr>
      <w:r>
        <w:rPr>
          <w:rFonts w:ascii="Times New Roman" w:hAnsi="Times New Roman" w:eastAsia="微軟正黑體"/>
          <w:b/>
          <w:i w:val="0"/>
          <w:color w:val="A51C30"/>
          <w:sz w:val="26"/>
        </w:rPr>
        <w:t>企業背景：翔鷹航太科技的利基崛起與台灣創新板 IPO 藍圖</w:t>
      </w:r>
    </w:p>
    <w:p>
      <w:pPr>
        <w:spacing w:before="0" w:after="120" w:line="331" w:lineRule="auto"/>
      </w:pPr>
      <w:r>
        <w:rPr>
          <w:rFonts w:ascii="Times New Roman" w:hAnsi="Times New Roman" w:eastAsia="微軟正黑體"/>
          <w:b w:val="0"/>
          <w:i w:val="0"/>
          <w:color w:val="1E1E1E"/>
          <w:sz w:val="21"/>
        </w:rPr>
        <w:t>翔鷹航太科技股份有限公司（AeroTaiwan Corp.）由兩位出身漢翔航空工業與成大航太研究所的資深工程師——林振翔與陳冠廷於十年前在台中共同創立。受惠於全球無人機巡檢需求爆發與台灣「國機國造、航太供應鏈自主化」政策紅利，翔鷹航太避開了資本支出龐大的大型民航機紅海，精準切入高毛利的「商用長程無人機」與「複合材料輕型運動飛機模組」利基市場。</w:t>
      </w:r>
    </w:p>
    <w:p>
      <w:pPr>
        <w:spacing w:before="0" w:after="120" w:line="331" w:lineRule="auto"/>
      </w:pPr>
      <w:r>
        <w:rPr>
          <w:rFonts w:ascii="Times New Roman" w:hAnsi="Times New Roman" w:eastAsia="微軟正黑體"/>
          <w:b w:val="0"/>
          <w:i w:val="0"/>
          <w:color w:val="1E1E1E"/>
          <w:sz w:val="21"/>
        </w:rPr>
        <w:t>公司目前擁有兩大主力產品線（營運指標詳見【附錄一】）：第一款是專供離岸風電巡檢、國土測繪與高壓電塔巡航的單旋翼長程無人機「蒼鷹號（The Falcon）」，標準出廠售價為新台幣 150 萬元；第二款則是外銷歐美私人飛行俱樂部的雙座複合材料輕型機模組「藍鵲號（The Magpie）」，標準售價為新台幣 240 萬元。</w:t>
      </w:r>
    </w:p>
    <w:p>
      <w:pPr>
        <w:spacing w:before="0" w:after="120" w:line="331" w:lineRule="auto"/>
      </w:pPr>
      <w:r>
        <w:rPr>
          <w:rFonts w:ascii="Times New Roman" w:hAnsi="Times New Roman" w:eastAsia="微軟正黑體"/>
          <w:b w:val="0"/>
          <w:i w:val="0"/>
          <w:color w:val="1E1E1E"/>
          <w:sz w:val="21"/>
        </w:rPr>
        <w:t>不同於傳統航太廠動輒一年半至兩年的漫長交期，翔鷹航太導入高效率的「接單後模組化生產（Build-to-Order）」與預製碳纖維機身工藝。客戶簽約時即預付三成訂金，並於組裝中期支付進度款，從下單到整機測試出廠僅需短短 5 週時間。憑藉優異的飛控可靠度與健康的自由現金流，公司近三年營收與稅後淨利均維持 20% 以上的高速成長。在新進人員始業式上，董事長林振翔更公開宣佈：公司已正式委任元大證券擔任主辦承銷商啟動上市輔導，目標在未來 3 至 4 年內登錄興櫃並申請台灣證券交易所「創新板」或一般板首次公開發行（IPO）掛牌上市。</w:t>
      </w:r>
    </w:p>
    <w:p>
      <w:pPr>
        <w:keepNext/>
        <w:spacing w:before="320" w:after="120"/>
        <w:pBdr>
          <w:bottom w:val="single" w:sz="8" w:space="3" w:color="A51C30"/>
        </w:pBdr>
      </w:pPr>
      <w:r>
        <w:rPr>
          <w:rFonts w:ascii="Times New Roman" w:hAnsi="Times New Roman" w:eastAsia="微軟正黑體"/>
          <w:b/>
          <w:i w:val="0"/>
          <w:color w:val="A51C30"/>
          <w:sz w:val="26"/>
        </w:rPr>
        <w:t>制度架構：台灣勞退新制結合翔鷹航太「自主退休與對等福利信託計畫」</w:t>
      </w:r>
    </w:p>
    <w:p>
      <w:pPr>
        <w:spacing w:before="0" w:after="120" w:line="331" w:lineRule="auto"/>
      </w:pPr>
      <w:r>
        <w:rPr>
          <w:rFonts w:ascii="Times New Roman" w:hAnsi="Times New Roman" w:eastAsia="微軟正黑體"/>
          <w:b w:val="0"/>
          <w:i w:val="0"/>
          <w:color w:val="1E1E1E"/>
          <w:sz w:val="21"/>
        </w:rPr>
        <w:t>為了在競爭激烈的台灣科技業中吸引頂尖青年人才，翔鷹航太除了依法履行《勞工退休金條例》（勞退新制）由雇主每月強制提撥薪資 6%（NT$3,000 元）至勞保局個人專戶外，更比照外商科技大廠與竹科一線企業，與專業資產管理機構合作推出了第二層專屬福利——《翔鷹航太自主退休儲蓄與企業對等福利信託計畫（AeroTaiwan Retirement &amp; Savings Trust Plan）》。張凱文副理向宥辰說明了該計畫的三大核心運作規則（詳細參數彙整於【附錄二】）：</w:t>
      </w:r>
    </w:p>
    <w:p>
      <w:pPr>
        <w:spacing w:before="0" w:after="120" w:line="331" w:lineRule="auto"/>
      </w:pPr>
      <w:r>
        <w:rPr>
          <w:rFonts w:ascii="Times New Roman" w:hAnsi="Times New Roman" w:eastAsia="微軟正黑體"/>
          <w:b/>
          <w:i w:val="0"/>
          <w:color w:val="1B365D"/>
          <w:sz w:val="21"/>
        </w:rPr>
        <w:t>1. 員工稅前自提上限（15%）與當期所得稅盾優惠：</w:t>
      </w:r>
      <w:r>
        <w:rPr>
          <w:rFonts w:ascii="Times New Roman" w:hAnsi="Times New Roman" w:eastAsia="微軟正黑體"/>
          <w:b w:val="0"/>
          <w:i w:val="0"/>
          <w:color w:val="1E1E1E"/>
          <w:sz w:val="21"/>
        </w:rPr>
        <w:t>正職員工每月可自由選擇從稅前月薪（NT$50,000 元）中，提撥 0% 至最高 15%（即每月最高自提 NT$7,500 元，每年最高 NT$90,000 元）進入個人專屬的退休投資信託帳戶。依據《勞工退休金條例》第 14 條稅前扣除精神與公司租稅遞延福利架構，員工自提金額屬於「稅前薪資扣除額（Pre-tax Contributions）」，於當月計算課稅所得時直接全額扣除，立即減少當期應納綜合所得稅（產生當期所得稅盾 Tax Shield）。此外，帳戶內投資台股 ETF 或債券基金所產生的股息、債息與資本利得，在長達 43 年（22 歲至 65 歲退休）的累積期間內完全免徵當期所得稅與二代健保補充保費，以完整稅前報酬率進行複利滾存。（註：為確保專款專用，若員工於年滿 60 歲前非因重大傷病等法定原因提前解約提領，除須補繳當年度所得稅外，還須支付 10% 之提前解約違約金）。</w:t>
      </w:r>
    </w:p>
    <w:p>
      <w:pPr>
        <w:spacing w:before="0" w:after="120" w:line="331" w:lineRule="auto"/>
      </w:pPr>
      <w:r>
        <w:rPr>
          <w:rFonts w:ascii="Times New Roman" w:hAnsi="Times New Roman" w:eastAsia="微軟正黑體"/>
          <w:b/>
          <w:i w:val="0"/>
          <w:color w:val="1B365D"/>
          <w:sz w:val="21"/>
        </w:rPr>
        <w:t>2. 雇主 1:1 對等提撥獎勵機制（上限月薪 5%）：</w:t>
      </w:r>
      <w:r>
        <w:rPr>
          <w:rFonts w:ascii="Times New Roman" w:hAnsi="Times New Roman" w:eastAsia="微軟正黑體"/>
          <w:b w:val="0"/>
          <w:i w:val="0"/>
          <w:color w:val="1E1E1E"/>
          <w:sz w:val="21"/>
        </w:rPr>
        <w:t>這是翔鷹航太最受矚目的留才制度：公司提供高達「月薪 5% 範圍內之 1:1 全額對等提撥獎勵金（100% Dollar-for-Dollar Company Match up to 5% of Salary）」。具體而言，在員工月薪 5%（每月 NT$2,500 元，每年 NT$30,000 元）的額度內，宥辰每自提 NT$1 元，翔鷹航太就免費為他在退休信託帳戶中額外注入 NT$1 元！換言之，若宥辰選擇自提 5%（每月 NT$2,500 元），公司即對等補貼 5%（每月 NT$2,500 元），每月合計即有相當於月薪 10%（NT$5,000 元，每年 NT$60,000 元）的資金存入帳戶；若宥辰選擇自提 10%（每月 NT$5,000 元）或 15%（每月 NT$7,500 元），公司的對等提撥獎勵金則封頂於月薪的 5%（每月 NT$2,500 元）。</w:t>
      </w:r>
    </w:p>
    <w:p>
      <w:pPr>
        <w:spacing w:before="0" w:after="120" w:line="331" w:lineRule="auto"/>
      </w:pPr>
      <w:r>
        <w:rPr>
          <w:rFonts w:ascii="Times New Roman" w:hAnsi="Times New Roman" w:eastAsia="微軟正黑體"/>
          <w:b/>
          <w:i w:val="0"/>
          <w:color w:val="1B365D"/>
          <w:sz w:val="21"/>
        </w:rPr>
        <w:t>3. 五大新台幣計價投資標的自主選單：</w:t>
      </w:r>
      <w:r>
        <w:rPr>
          <w:rFonts w:ascii="Times New Roman" w:hAnsi="Times New Roman" w:eastAsia="微軟正黑體"/>
          <w:b w:val="0"/>
          <w:i w:val="0"/>
          <w:color w:val="1E1E1E"/>
          <w:sz w:val="21"/>
        </w:rPr>
        <w:t>不同於一般勞退專戶僅能由勞動基金運用局統籌操作，翔鷹航太的退休信託平台開放員工「100% 自主決定投資標的配置」。受託管理機構精選了四檔在台灣證券交易所掛牌或核備之新台幣計價共同基金／ETF，外加一項「翔鷹航太未上市內部股票認購專戶」，供員工依任意百分比組合配置（詳見【附錄三】）：</w:t>
      </w:r>
    </w:p>
    <w:p>
      <w:pPr>
        <w:spacing w:before="0" w:after="120" w:line="331" w:lineRule="auto"/>
        <w:ind w:left="216"/>
      </w:pPr>
      <w:r>
        <w:rPr>
          <w:rFonts w:ascii="Times New Roman" w:hAnsi="Times New Roman" w:eastAsia="微軟正黑體"/>
          <w:b/>
          <w:i w:val="0"/>
          <w:color w:val="1B365D"/>
          <w:sz w:val="21"/>
        </w:rPr>
        <w:t xml:space="preserve">   ① 元大台幣貨幣市場基金（Yuanta TWD Money Market Fund）：</w:t>
      </w:r>
      <w:r>
        <w:rPr>
          <w:rFonts w:ascii="Times New Roman" w:hAnsi="Times New Roman" w:eastAsia="微軟正黑體"/>
          <w:b w:val="0"/>
          <w:i w:val="0"/>
          <w:color w:val="1E1E1E"/>
          <w:sz w:val="21"/>
        </w:rPr>
        <w:t>主要投資於台灣中央銀行可轉讓定期存單（NCD）、短期國庫券、銀行定存與最高信用評等之商業本票。基金淨值穩定、每日均可贖回，幾乎無名目本金虧損風險，歷史預期年化報酬率約 2.50%（年化標準差 0.50%，管理費 0.12%），但扣除台灣長期平均約 2.0%～2.5% 的消費者物價指數（CPI）通膨率後，實質購買力增長趨近於零。</w:t>
      </w:r>
    </w:p>
    <w:p>
      <w:pPr>
        <w:spacing w:before="0" w:after="120" w:line="331" w:lineRule="auto"/>
        <w:ind w:left="216"/>
      </w:pPr>
      <w:r>
        <w:rPr>
          <w:rFonts w:ascii="Times New Roman" w:hAnsi="Times New Roman" w:eastAsia="微軟正黑體"/>
          <w:b/>
          <w:i w:val="0"/>
          <w:color w:val="1B365D"/>
          <w:sz w:val="21"/>
        </w:rPr>
        <w:t xml:space="preserve">   ② 元大台灣投資級公司債與公債傘型基金（對標 00679B / 00720B）：</w:t>
      </w:r>
      <w:r>
        <w:rPr>
          <w:rFonts w:ascii="Times New Roman" w:hAnsi="Times New Roman" w:eastAsia="微軟正黑體"/>
          <w:b w:val="0"/>
          <w:i w:val="0"/>
          <w:color w:val="1E1E1E"/>
          <w:sz w:val="21"/>
        </w:rPr>
        <w:t>分散投資於長天期美國政府公債與台灣 AAA～A 級大型企業（如台積電、台電、大型金控）發行之優質公司債。提供穩定的債息現金流，歷史預期年化報酬率約 5.00%，年化波動度（標準差）約 6.00%，年度內扣費用率為 0.20%。</w:t>
      </w:r>
    </w:p>
    <w:p>
      <w:pPr>
        <w:spacing w:before="0" w:after="120" w:line="331" w:lineRule="auto"/>
        <w:ind w:left="216"/>
      </w:pPr>
      <w:r>
        <w:rPr>
          <w:rFonts w:ascii="Times New Roman" w:hAnsi="Times New Roman" w:eastAsia="微軟正黑體"/>
          <w:b/>
          <w:i w:val="0"/>
          <w:color w:val="1B365D"/>
          <w:sz w:val="21"/>
        </w:rPr>
        <w:t xml:space="preserve">   ③ 元大台灣卓越 50 指數基金（對標 0050 / 006208 大型權值股 ETF）：</w:t>
      </w:r>
      <w:r>
        <w:rPr>
          <w:rFonts w:ascii="Times New Roman" w:hAnsi="Times New Roman" w:eastAsia="微軟正黑體"/>
          <w:b w:val="0"/>
          <w:i w:val="0"/>
          <w:color w:val="1E1E1E"/>
          <w:sz w:val="21"/>
        </w:rPr>
        <w:t>採完全被動式指數化管理（Passive Indexing），精準追蹤臺灣證券交易所與富時國際合編之「臺灣 50 指數」，一籃子持有台積電（2330）、鴻海（2317）、聯發科（2454）、台達電（2308）、富邦金（2881）等台灣市值前 50 大指標龍頭企業。具備跨產業分散、自動汰弱留強與極高市場流動性，退休平台專屬年度內扣總費用率僅 0.10%，台股長期含息再投資之歷史預期年化報酬率約 10.00%，年化標準差約 16.00%。</w:t>
      </w:r>
    </w:p>
    <w:p>
      <w:pPr>
        <w:spacing w:before="0" w:after="120" w:line="331" w:lineRule="auto"/>
        <w:ind w:left="216"/>
      </w:pPr>
      <w:r>
        <w:rPr>
          <w:rFonts w:ascii="Times New Roman" w:hAnsi="Times New Roman" w:eastAsia="微軟正黑體"/>
          <w:b/>
          <w:i w:val="0"/>
          <w:color w:val="1B365D"/>
          <w:sz w:val="21"/>
        </w:rPr>
        <w:t xml:space="preserve">   ④ 富邦台灣中小動能高成長基金（對標 00733 / 0051 中小型成長股 ETF）：</w:t>
      </w:r>
      <w:r>
        <w:rPr>
          <w:rFonts w:ascii="Times New Roman" w:hAnsi="Times New Roman" w:eastAsia="微軟正黑體"/>
          <w:b w:val="0"/>
          <w:i w:val="0"/>
          <w:color w:val="1E1E1E"/>
          <w:sz w:val="21"/>
        </w:rPr>
        <w:t>聚焦於台灣資本市場中市值較小、具備高營收與獲利爆發力的中小型 IC 設計、AI 散熱與伺服器零組件、精密自動化機械及生技醫療企業。長期資本增值潛力居冠，歷史預期年化報酬率高達 12.50%，但受全球科技景氣循環與外資資金移動影響劇烈，年化標準差高達 24.00%，年度內扣費用率為 0.55%。</w:t>
      </w:r>
    </w:p>
    <w:p>
      <w:pPr>
        <w:spacing w:before="0" w:after="120" w:line="331" w:lineRule="auto"/>
        <w:ind w:left="216"/>
      </w:pPr>
      <w:r>
        <w:rPr>
          <w:rFonts w:ascii="Times New Roman" w:hAnsi="Times New Roman" w:eastAsia="微軟正黑體"/>
          <w:b/>
          <w:i w:val="0"/>
          <w:color w:val="1B365D"/>
          <w:sz w:val="21"/>
        </w:rPr>
        <w:t xml:space="preserve">   ⑤ 翔鷹航太未上市內部股票基金（AeroTaiwan Company Stock Fund）：</w:t>
      </w:r>
      <w:r>
        <w:rPr>
          <w:rFonts w:ascii="Times New Roman" w:hAnsi="Times New Roman" w:eastAsia="微軟正黑體"/>
          <w:b w:val="0"/>
          <w:i w:val="0"/>
          <w:color w:val="1E1E1E"/>
          <w:sz w:val="21"/>
        </w:rPr>
        <w:t>由於翔鷹航太目前仍為未上市、未上興櫃之私人股份有限公司，其股票並無公開證券市場報價。公司董事會於每年年底委託四大會計師事務所之獨立評價團隊，依現金流量折現法（DCF）與同業本益比乘數進行一次企業估值，核定每股公允價值（Fair Market Value）。為激勵員工與公司共創 IPO 榮景，凡透過退休信託帳戶認購翔鷹航太內部股票者，一律享有「年度鑑價結果打八折（20% 認購折價）」之員工優惠價。然而，在公司正式掛牌上市前，該股票無法在公開市場買賣，僅能於員工正式離職或屆齡退休時，依當年度內部鑑價由公司專戶買回。</w:t>
      </w:r>
    </w:p>
    <w:p>
      <w:pPr>
        <w:keepNext/>
        <w:spacing w:before="320" w:after="120"/>
        <w:pBdr>
          <w:bottom w:val="single" w:sz="8" w:space="3" w:color="A51C30"/>
        </w:pBdr>
      </w:pPr>
      <w:r>
        <w:rPr>
          <w:rFonts w:ascii="Times New Roman" w:hAnsi="Times New Roman" w:eastAsia="微軟正黑體"/>
          <w:b/>
          <w:i w:val="0"/>
          <w:color w:val="A51C30"/>
          <w:sz w:val="26"/>
        </w:rPr>
        <w:t>茶水間的交鋒：台灣職場三種典型理財觀點的碰撞</w:t>
      </w:r>
    </w:p>
    <w:p>
      <w:pPr>
        <w:spacing w:before="0" w:after="120" w:line="331" w:lineRule="auto"/>
      </w:pPr>
      <w:r>
        <w:rPr>
          <w:rFonts w:ascii="Times New Roman" w:hAnsi="Times New Roman" w:eastAsia="微軟正黑體"/>
          <w:b w:val="0"/>
          <w:i w:val="0"/>
          <w:color w:val="1E1E1E"/>
          <w:sz w:val="21"/>
        </w:rPr>
        <w:t>週三午休時間，宥辰拿著申請表走到公司茶水間泡咖啡，正好遇到幾位同事在討論這份退休信託表格。短短十五分鐘內，他聽到了三種截然不同的台灣職場聲音：</w:t>
      </w:r>
    </w:p>
    <w:p>
      <w:pPr>
        <w:spacing w:before="0" w:after="120" w:line="331" w:lineRule="auto"/>
      </w:pPr>
      <w:r>
        <w:rPr>
          <w:rFonts w:ascii="Times New Roman" w:hAnsi="Times New Roman" w:eastAsia="微軟正黑體"/>
          <w:b/>
          <w:i w:val="0"/>
          <w:color w:val="1B365D"/>
          <w:sz w:val="21"/>
        </w:rPr>
        <w:t>1. 「五萬月薪不夠花、等 32 歲年薪破百萬再存」派（同梯業務陳建宏 Jason）：</w:t>
      </w:r>
      <w:r>
        <w:rPr>
          <w:rFonts w:ascii="Times New Roman" w:hAnsi="Times New Roman" w:eastAsia="微軟正黑體"/>
          <w:b w:val="0"/>
          <w:i w:val="0"/>
          <w:color w:val="1E1E1E"/>
          <w:sz w:val="21"/>
        </w:rPr>
        <w:t>與宥辰同梯入職、月薪同樣是 NT$50,000 元的業務工程師陳建宏（Jason Chen）一邊滑著手機網購，一邊苦笑說：「宥辰，我們剛畢業在台中逢甲租套房一個月房租加水電就要一萬二，還要繳大學學貸、養機車、週末跟女朋友吃大餐，五萬塊月薪扣掉所得稅和勞健保，每個月能自由花的錢根本沒多少！如果你去勾自提 5% 或 10%，每個月立刻少領兩千多到五千塊現金，生活品質直接打折！我已經決定勾『自提 0%（暫不參加）』。等我們工作滿十年、32 歲升上業務副理、年薪破百萬以後再開始存，到時候離 65 歲退休還有整整 33 年，根本不用急在一時！」</w:t>
      </w:r>
    </w:p>
    <w:p>
      <w:pPr>
        <w:spacing w:before="0" w:after="120" w:line="331" w:lineRule="auto"/>
      </w:pPr>
      <w:r>
        <w:rPr>
          <w:rFonts w:ascii="Times New Roman" w:hAnsi="Times New Roman" w:eastAsia="微軟正黑體"/>
          <w:b/>
          <w:i w:val="0"/>
          <w:color w:val="1B365D"/>
          <w:sz w:val="21"/>
        </w:rPr>
        <w:t>2. 「八折內部未上市股＋IPO 翻倍全押」派（資深工程師王大衛 Dave）：</w:t>
      </w:r>
      <w:r>
        <w:rPr>
          <w:rFonts w:ascii="Times New Roman" w:hAnsi="Times New Roman" w:eastAsia="微軟正黑體"/>
          <w:b w:val="0"/>
          <w:i w:val="0"/>
          <w:color w:val="1E1E1E"/>
          <w:sz w:val="21"/>
        </w:rPr>
        <w:t>在廠區待了七年的資深航電工程師王大衛（Dave Wang）立刻出聲反駁：「建宏，公司白送 5% 對等補助你不拿真的太傻了！但我跟你們講，要賺大錢就要像我一樣——自提拉高，然後『100% 全部勾選買我們翔鷹航太的內部股票』！你們自己算，公司給員工打八折，價值 100 塊的股票我們只要花 80 塊就能買到，買進當天帳面立刻現賺 25%！而且現在台灣無人機國家隊跟國防航太題材這麼火熱，我們每天在產線親眼看到『蒼鷹號』訂單滿載，等 3 年後林董帶公司上台灣創新板 IPO，股價隨便翻個兩三倍，我們直接原地財富自由！去買什麼每年只賺 10% 的 0050 太慢了啦！」</w:t>
      </w:r>
    </w:p>
    <w:p>
      <w:pPr>
        <w:spacing w:before="0" w:after="120" w:line="331" w:lineRule="auto"/>
      </w:pPr>
      <w:r>
        <w:rPr>
          <w:rFonts w:ascii="Times New Roman" w:hAnsi="Times New Roman" w:eastAsia="微軟正黑體"/>
          <w:b/>
          <w:i w:val="0"/>
          <w:color w:val="1B365D"/>
          <w:sz w:val="21"/>
        </w:rPr>
        <w:t>3. 「養老老本絕不能見紅、100% 貨幣與債券保本」派（人資組長林淑芬 Linda）：</w:t>
      </w:r>
      <w:r>
        <w:rPr>
          <w:rFonts w:ascii="Times New Roman" w:hAnsi="Times New Roman" w:eastAsia="微軟正黑體"/>
          <w:b w:val="0"/>
          <w:i w:val="0"/>
          <w:color w:val="1E1E1E"/>
          <w:sz w:val="21"/>
        </w:rPr>
        <w:t>正在整理報到表單的人資行政組長林淑芬（Linda Lin）則搖搖頭勸道：「宥辰，你千萬別聽大衛亂賭！退休金是我們 65 歲以後的養老救命錢，最重要的鐵律就是『絕對不能虧本』！我先生在 2022 年台股從萬八大跌五千點的時候買股票型基金，一年帳面縮水三成多，嚇到每天失眠。所以我自己的退休專戶是配 70% 在『元大台幣貨幣市場基金（2.5%）』、30% 在『投資級債券基金（5.0%）』。雖然賺得慢一點，但每天晚上都能安心睡覺，本金永遠不會縮水！」</w:t>
      </w:r>
    </w:p>
    <w:p>
      <w:pPr>
        <w:keepNext/>
        <w:spacing w:before="320" w:after="120"/>
        <w:pBdr>
          <w:bottom w:val="single" w:sz="8" w:space="3" w:color="A51C30"/>
        </w:pBdr>
      </w:pPr>
      <w:r>
        <w:rPr>
          <w:rFonts w:ascii="Times New Roman" w:hAnsi="Times New Roman" w:eastAsia="微軟正黑體"/>
          <w:b/>
          <w:i w:val="0"/>
          <w:color w:val="A51C30"/>
          <w:sz w:val="26"/>
        </w:rPr>
        <w:t>決策時刻：週五下午五點前的財務分析備忘錄</w:t>
      </w:r>
    </w:p>
    <w:p>
      <w:pPr>
        <w:spacing w:before="0" w:after="120" w:line="331" w:lineRule="auto"/>
      </w:pPr>
      <w:r>
        <w:rPr>
          <w:rFonts w:ascii="Times New Roman" w:hAnsi="Times New Roman" w:eastAsia="微軟正黑體"/>
          <w:b w:val="0"/>
          <w:i w:val="0"/>
          <w:color w:val="1E1E1E"/>
          <w:sz w:val="21"/>
        </w:rPr>
        <w:t>回到座位後，宥辰打開 Excel 試算表。陳建宏的「32 歲再開始存」、王大衛的「全押八折自家未上市股票」、以及林組長的「全放貨幣與債券基金保本」，代表了台灣職場上最常見的三種直覺反應。但身為受過嚴格財務訓練的分析師，宥辰深知直覺往往伴隨著行為偏誤。他必須根據自己目前月薪 NT$50,000 元（年薪 NT$600,000 元）、適用綜所稅邊際稅率 12.0%（預計中後期職涯升遷後將進入 20% 乃至 30% 稅率級距）以及長達 43 年（516 個月）的複利期，逐一精算張凱文副理交付的六道財務問題（見【附錄四】），在週五下午五點前交出一份無懈可擊的退休財務決策方案。</w:t>
      </w:r>
    </w:p>
    <w:p>
      <w:pPr>
        <w:keepNext/>
        <w:spacing w:before="320" w:after="120"/>
        <w:pBdr>
          <w:bottom w:val="single" w:sz="8" w:space="3" w:color="A51C30"/>
        </w:pBdr>
      </w:pPr>
      <w:r>
        <w:rPr>
          <w:rFonts w:ascii="Times New Roman" w:hAnsi="Times New Roman" w:eastAsia="微軟正黑體"/>
          <w:b/>
          <w:i w:val="0"/>
          <w:color w:val="A51C30"/>
          <w:sz w:val="26"/>
        </w:rPr>
        <w:t>個案附錄圖表（Case Exhibits）</w:t>
      </w:r>
    </w:p>
    <w:p>
      <w:pPr>
        <w:keepNext/>
        <w:spacing w:before="240" w:after="80"/>
      </w:pPr>
      <w:r>
        <w:rPr>
          <w:rFonts w:ascii="Times New Roman" w:hAnsi="Times New Roman" w:eastAsia="微軟正黑體"/>
          <w:b/>
          <w:i w:val="0"/>
          <w:color w:val="A51C30"/>
          <w:sz w:val="21"/>
        </w:rPr>
        <w:t xml:space="preserve">附錄一（Exhibit 1）　</w:t>
      </w:r>
      <w:r>
        <w:rPr>
          <w:rFonts w:ascii="Times New Roman" w:hAnsi="Times New Roman" w:eastAsia="微軟正黑體"/>
          <w:b/>
          <w:i w:val="0"/>
          <w:color w:val="1E1E1E"/>
          <w:sz w:val="21"/>
        </w:rPr>
        <w:t>翔鷹航太科技（AeroTaiwan Corp.）企業營運概況與主力產品線摘要</w:t>
      </w:r>
    </w:p>
    <w:tbl>
      <w:tblPr>
        <w:tblW w:type="auto" w:w="0"/>
        <w:jc w:val="center"/>
        <w:tblLook w:firstColumn="1" w:firstRow="1" w:lastColumn="0" w:lastRow="0" w:noHBand="0" w:noVBand="1" w:val="04A0"/>
      </w:tblPr>
      <w:tblGrid>
        <w:gridCol w:w="2412"/>
        <w:gridCol w:w="2412"/>
        <w:gridCol w:w="2412"/>
        <w:gridCol w:w="2412"/>
      </w:tblGrid>
      <w:tr>
        <w:tc>
          <w:tcPr>
            <w:tcW w:type="dxa" w:w="2412"/>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營運與財務維度</w:t>
            </w:r>
          </w:p>
        </w:tc>
        <w:tc>
          <w:tcPr>
            <w:tcW w:type="dxa" w:w="2412"/>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主力產品一：蒼鷹號 (The Falcon)</w:t>
            </w:r>
          </w:p>
        </w:tc>
        <w:tc>
          <w:tcPr>
            <w:tcW w:type="dxa" w:w="2412"/>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主力產品二：藍鵲號 (The Magpie)</w:t>
            </w:r>
          </w:p>
        </w:tc>
        <w:tc>
          <w:tcPr>
            <w:tcW w:type="dxa" w:w="2412"/>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翔鷹航太整體企業營運特徵</w:t>
            </w:r>
          </w:p>
        </w:tc>
      </w:tr>
      <w:tr>
        <w:tc>
          <w:tcPr>
            <w:tcW w:type="dxa" w:w="2412"/>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產品定位與目標客群</w:t>
            </w:r>
          </w:p>
        </w:tc>
        <w:tc>
          <w:tcPr>
            <w:tcW w:type="dxa" w:w="2412"/>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長程商用巡檢無人機（風電／電塔／測繪）</w:t>
            </w:r>
          </w:p>
        </w:tc>
        <w:tc>
          <w:tcPr>
            <w:tcW w:type="dxa" w:w="2412"/>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雙座複合材料輕型運動飛機機身模組</w:t>
            </w:r>
          </w:p>
        </w:tc>
        <w:tc>
          <w:tcPr>
            <w:tcW w:type="dxa" w:w="2412"/>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聚焦高毛利商用無人機與輕型航太利基市場</w:t>
            </w:r>
          </w:p>
        </w:tc>
      </w:tr>
      <w:tr>
        <w:tc>
          <w:tcPr>
            <w:tcW w:type="dxa" w:w="2412"/>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標準出廠售價 (Unit Price)</w:t>
            </w:r>
          </w:p>
        </w:tc>
        <w:tc>
          <w:tcPr>
            <w:tcW w:type="dxa" w:w="2412"/>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NT$1,500,000 元 / 架</w:t>
            </w:r>
          </w:p>
        </w:tc>
        <w:tc>
          <w:tcPr>
            <w:tcW w:type="dxa" w:w="2412"/>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NT$2,400,000 元 / 套</w:t>
            </w:r>
          </w:p>
        </w:tc>
        <w:tc>
          <w:tcPr>
            <w:tcW w:type="dxa" w:w="2412"/>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具高技術門檻與客製化航電選配毛利</w:t>
            </w:r>
          </w:p>
        </w:tc>
      </w:tr>
      <w:tr>
        <w:tc>
          <w:tcPr>
            <w:tcW w:type="dxa" w:w="2412"/>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生產與組裝交期</w:t>
            </w:r>
          </w:p>
        </w:tc>
        <w:tc>
          <w:tcPr>
            <w:tcW w:type="dxa" w:w="2412"/>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預製碳纖維模組 / 接單後 5 週交機</w:t>
            </w:r>
          </w:p>
        </w:tc>
        <w:tc>
          <w:tcPr>
            <w:tcW w:type="dxa" w:w="2412"/>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預製複合材料模組 / 接單後 5 週交貨</w:t>
            </w:r>
          </w:p>
        </w:tc>
        <w:tc>
          <w:tcPr>
            <w:tcW w:type="dxa" w:w="2412"/>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遠快於傳統航太廠 18～24 個月之交期</w:t>
            </w:r>
          </w:p>
        </w:tc>
      </w:tr>
      <w:tr>
        <w:tc>
          <w:tcPr>
            <w:tcW w:type="dxa" w:w="2412"/>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收款與營運資金條件</w:t>
            </w:r>
          </w:p>
        </w:tc>
        <w:tc>
          <w:tcPr>
            <w:tcW w:type="dxa" w:w="2412"/>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簽約預收 30% 訂金 + 組裝期中進度款</w:t>
            </w:r>
          </w:p>
        </w:tc>
        <w:tc>
          <w:tcPr>
            <w:tcW w:type="dxa" w:w="2412"/>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簽約預收 30% 訂金 + 出貨前尾款結清</w:t>
            </w:r>
          </w:p>
        </w:tc>
        <w:tc>
          <w:tcPr>
            <w:tcW w:type="dxa" w:w="2412"/>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營運資金週期健康，近三年營收成長逾 20%</w:t>
            </w:r>
          </w:p>
        </w:tc>
      </w:tr>
      <w:tr>
        <w:tc>
          <w:tcPr>
            <w:tcW w:type="dxa" w:w="2412"/>
            <w:shd w:fill="FFFFFF"/>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資本市場與上市規劃</w:t>
            </w:r>
          </w:p>
        </w:tc>
        <w:tc>
          <w:tcPr>
            <w:tcW w:type="dxa" w:w="2412"/>
            <w:shd w:fill="FFFFFF"/>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未上市／未上興櫃私人股份有限公司</w:t>
            </w:r>
          </w:p>
        </w:tc>
        <w:tc>
          <w:tcPr>
            <w:tcW w:type="dxa" w:w="2412"/>
            <w:shd w:fill="FFFFFF"/>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未上市／未上興櫃私人股份有限公司</w:t>
            </w:r>
          </w:p>
        </w:tc>
        <w:tc>
          <w:tcPr>
            <w:tcW w:type="dxa" w:w="2412"/>
            <w:shd w:fill="FFFFFF"/>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已委任元大證券輔導，目標 3～4 年內 IPO</w:t>
            </w:r>
          </w:p>
        </w:tc>
      </w:tr>
    </w:tbl>
    <w:p>
      <w:pPr>
        <w:spacing w:before="60" w:after="160"/>
      </w:pPr>
      <w:r>
        <w:rPr>
          <w:rFonts w:ascii="Times New Roman" w:hAnsi="Times New Roman" w:eastAsia="微軟正黑體"/>
          <w:b w:val="0"/>
          <w:i/>
          <w:color w:val="595959"/>
          <w:sz w:val="17"/>
        </w:rPr>
        <w:t>資料來源：個案作者根據台灣航太與無人機產業實務及教學情境設定整理。</w:t>
      </w:r>
    </w:p>
    <w:p>
      <w:pPr>
        <w:keepNext/>
        <w:spacing w:before="240" w:after="80"/>
      </w:pPr>
      <w:r>
        <w:rPr>
          <w:rFonts w:ascii="Times New Roman" w:hAnsi="Times New Roman" w:eastAsia="微軟正黑體"/>
          <w:b/>
          <w:i w:val="0"/>
          <w:color w:val="A51C30"/>
          <w:sz w:val="21"/>
        </w:rPr>
        <w:t xml:space="preserve">附錄二（Exhibit 2）　</w:t>
      </w:r>
      <w:r>
        <w:rPr>
          <w:rFonts w:ascii="Times New Roman" w:hAnsi="Times New Roman" w:eastAsia="微軟正黑體"/>
          <w:b/>
          <w:i w:val="0"/>
          <w:color w:val="1E1E1E"/>
          <w:sz w:val="21"/>
        </w:rPr>
        <w:t>翔鷹航太退休福利信託規則與主角林宥辰（Yu-Chen Lin）個人財務參數表</w:t>
      </w:r>
    </w:p>
    <w:tbl>
      <w:tblPr>
        <w:tblW w:type="auto" w:w="0"/>
        <w:jc w:val="center"/>
        <w:tblLook w:firstColumn="1" w:firstRow="1" w:lastColumn="0" w:lastRow="0" w:noHBand="0" w:noVBand="1" w:val="04A0"/>
      </w:tblPr>
      <w:tblGrid>
        <w:gridCol w:w="3216"/>
        <w:gridCol w:w="3216"/>
        <w:gridCol w:w="3216"/>
      </w:tblGrid>
      <w:tr>
        <w:tc>
          <w:tcPr>
            <w:tcW w:type="dxa" w:w="3216"/>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個人及制度財務參數項目</w:t>
            </w:r>
          </w:p>
        </w:tc>
        <w:tc>
          <w:tcPr>
            <w:tcW w:type="dxa" w:w="3216"/>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個案基準設定數值 (新台幣 TWD)</w:t>
            </w:r>
          </w:p>
        </w:tc>
        <w:tc>
          <w:tcPr>
            <w:tcW w:type="dxa" w:w="3216"/>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台灣法規與財務計算備註說明</w:t>
            </w:r>
          </w:p>
        </w:tc>
      </w:tr>
      <w:tr>
        <w:tc>
          <w:tcPr>
            <w:tcW w:type="dxa" w:w="321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主角職位與起始年薪 (Starting Salary)</w:t>
            </w:r>
          </w:p>
        </w:tc>
        <w:tc>
          <w:tcPr>
            <w:tcW w:type="dxa" w:w="321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NT$600,000 元 / 年</w:t>
            </w:r>
          </w:p>
        </w:tc>
        <w:tc>
          <w:tcPr>
            <w:tcW w:type="dxa" w:w="321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折合每月稅前全薪 (Monthly Gross Pay) = NT$50,000 元</w:t>
            </w:r>
          </w:p>
        </w:tc>
      </w:tr>
      <w:tr>
        <w:tc>
          <w:tcPr>
            <w:tcW w:type="dxa" w:w="321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主角當前年齡與預計退休年齡</w:t>
            </w:r>
          </w:p>
        </w:tc>
        <w:tc>
          <w:tcPr>
            <w:tcW w:type="dxa" w:w="321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現年 22 歲 ➔ 65 歲退休</w:t>
            </w:r>
          </w:p>
        </w:tc>
        <w:tc>
          <w:tcPr>
            <w:tcW w:type="dxa" w:w="321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總投資複利時間跨度 n = 43 年（折合 N = 516 個月）</w:t>
            </w:r>
          </w:p>
        </w:tc>
      </w:tr>
      <w:tr>
        <w:tc>
          <w:tcPr>
            <w:tcW w:type="dxa" w:w="321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第一層：勞退新制雇主法定強制提撥</w:t>
            </w:r>
          </w:p>
        </w:tc>
        <w:tc>
          <w:tcPr>
            <w:tcW w:type="dxa" w:w="321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月薪之 6.0% (NT$3,000/月)</w:t>
            </w:r>
          </w:p>
        </w:tc>
        <w:tc>
          <w:tcPr>
            <w:tcW w:type="dxa" w:w="321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依《勞退條例》第14條存於勞保局專戶（本案作為背景基準）</w:t>
            </w:r>
          </w:p>
        </w:tc>
      </w:tr>
      <w:tr>
        <w:tc>
          <w:tcPr>
            <w:tcW w:type="dxa" w:w="321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第二層：員工自主稅前自提比例上限</w:t>
            </w:r>
          </w:p>
        </w:tc>
        <w:tc>
          <w:tcPr>
            <w:tcW w:type="dxa" w:w="321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稅前月薪之 15.0%</w:t>
            </w:r>
          </w:p>
        </w:tc>
        <w:tc>
          <w:tcPr>
            <w:tcW w:type="dxa" w:w="321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每月最高可自提 NT$7,500 元（即每年最高自提 NT$90,000 元）</w:t>
            </w:r>
          </w:p>
        </w:tc>
      </w:tr>
      <w:tr>
        <w:tc>
          <w:tcPr>
            <w:tcW w:type="dxa" w:w="321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雇主對等提撥獎勵金比率 (Match Ratio)</w:t>
            </w:r>
          </w:p>
        </w:tc>
        <w:tc>
          <w:tcPr>
            <w:tcW w:type="dxa" w:w="321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100% 對等提撥 (1 : 1)</w:t>
            </w:r>
          </w:p>
        </w:tc>
        <w:tc>
          <w:tcPr>
            <w:tcW w:type="dxa" w:w="321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在上限額度內，員工每自提 NT$1，翔鷹航太即免費相對提撥 NT$1</w:t>
            </w:r>
          </w:p>
        </w:tc>
      </w:tr>
      <w:tr>
        <w:tc>
          <w:tcPr>
            <w:tcW w:type="dxa" w:w="321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雇主對等提撥獎勵金上限 (Match Cap)</w:t>
            </w:r>
          </w:p>
        </w:tc>
        <w:tc>
          <w:tcPr>
            <w:tcW w:type="dxa" w:w="321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稅前月薪之 5.0%</w:t>
            </w:r>
          </w:p>
        </w:tc>
        <w:tc>
          <w:tcPr>
            <w:tcW w:type="dxa" w:w="321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公司每月最高補貼 NT$2,500 元（即每年最高補貼 NT$30,000 元）</w:t>
            </w:r>
          </w:p>
        </w:tc>
      </w:tr>
      <w:tr>
        <w:tc>
          <w:tcPr>
            <w:tcW w:type="dxa" w:w="321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主角當前適用綜所稅邊際稅率 (T)</w:t>
            </w:r>
          </w:p>
        </w:tc>
        <w:tc>
          <w:tcPr>
            <w:tcW w:type="dxa" w:w="321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12.0%</w:t>
            </w:r>
          </w:p>
        </w:tc>
        <w:tc>
          <w:tcPr>
            <w:tcW w:type="dxa" w:w="321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稅前自提享當期免稅盾，每自提 NT$100 可少繳 NT$12 所得稅</w:t>
            </w:r>
          </w:p>
        </w:tc>
      </w:tr>
      <w:tr>
        <w:tc>
          <w:tcPr>
            <w:tcW w:type="dxa" w:w="321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職涯中後期預期綜所稅邊際稅率</w:t>
            </w:r>
          </w:p>
        </w:tc>
        <w:tc>
          <w:tcPr>
            <w:tcW w:type="dxa" w:w="321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20.0% ➔ 30.0%</w:t>
            </w:r>
          </w:p>
        </w:tc>
        <w:tc>
          <w:tcPr>
            <w:tcW w:type="dxa" w:w="321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隨晉升副理、協理與年薪破百萬，將進入台灣綜所稅中高稅率級距</w:t>
            </w:r>
          </w:p>
        </w:tc>
      </w:tr>
      <w:tr>
        <w:tc>
          <w:tcPr>
            <w:tcW w:type="dxa" w:w="321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翔鷹航太內部股票員工認購優惠</w:t>
            </w:r>
          </w:p>
        </w:tc>
        <w:tc>
          <w:tcPr>
            <w:tcW w:type="dxa" w:w="321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年度鑑價打 8 折 (20% 折價)</w:t>
            </w:r>
          </w:p>
        </w:tc>
        <w:tc>
          <w:tcPr>
            <w:tcW w:type="dxa" w:w="321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依每年底四大會計師事務所鑑價之每股公允價值（FMV）80% 認購</w:t>
            </w:r>
          </w:p>
        </w:tc>
      </w:tr>
      <w:tr>
        <w:tc>
          <w:tcPr>
            <w:tcW w:type="dxa" w:w="3216"/>
            <w:shd w:fill="F7FAFC"/>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帳戶閉鎖期與提前解約罰則</w:t>
            </w:r>
          </w:p>
        </w:tc>
        <w:tc>
          <w:tcPr>
            <w:tcW w:type="dxa" w:w="3216"/>
            <w:shd w:fill="F7FAFC"/>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60 歲（早退加徵 10% 違約金）</w:t>
            </w:r>
          </w:p>
        </w:tc>
        <w:tc>
          <w:tcPr>
            <w:tcW w:type="dxa" w:w="3216"/>
            <w:shd w:fill="F7FAFC"/>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未滿 60 歲無故提前提領須補繳當期綜所稅並支付 10% 專案違約金</w:t>
            </w:r>
          </w:p>
        </w:tc>
      </w:tr>
    </w:tbl>
    <w:p>
      <w:pPr>
        <w:spacing w:before="60" w:after="160"/>
      </w:pPr>
      <w:r>
        <w:rPr>
          <w:rFonts w:ascii="Times New Roman" w:hAnsi="Times New Roman" w:eastAsia="微軟正黑體"/>
          <w:b w:val="0"/>
          <w:i/>
          <w:color w:val="595959"/>
          <w:sz w:val="17"/>
        </w:rPr>
        <w:t>資料來源：翔鷹航太人力資源室《員工自主退休儲蓄與福利信託辦法》與台灣綜合所得稅率級距表。</w:t>
      </w:r>
    </w:p>
    <w:p>
      <w:pPr>
        <w:keepNext/>
        <w:spacing w:before="240" w:after="80"/>
      </w:pPr>
      <w:r>
        <w:rPr>
          <w:rFonts w:ascii="Times New Roman" w:hAnsi="Times New Roman" w:eastAsia="微軟正黑體"/>
          <w:b/>
          <w:i w:val="0"/>
          <w:color w:val="A51C30"/>
          <w:sz w:val="21"/>
        </w:rPr>
        <w:t xml:space="preserve">附錄三（Exhibit 3）　</w:t>
      </w:r>
      <w:r>
        <w:rPr>
          <w:rFonts w:ascii="Times New Roman" w:hAnsi="Times New Roman" w:eastAsia="微軟正黑體"/>
          <w:b/>
          <w:i w:val="0"/>
          <w:color w:val="1E1E1E"/>
          <w:sz w:val="21"/>
        </w:rPr>
        <w:t>翔鷹航太退休福利信託平台五大新台幣投資標的風險與收益特徵表</w:t>
      </w:r>
    </w:p>
    <w:tbl>
      <w:tblPr>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投資標的名稱 (台灣對標商品)</w:t>
            </w:r>
          </w:p>
        </w:tc>
        <w:tc>
          <w:tcPr>
            <w:tcW w:type="dxa" w:w="1378"/>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資產類別</w:t>
            </w:r>
          </w:p>
        </w:tc>
        <w:tc>
          <w:tcPr>
            <w:tcW w:type="dxa" w:w="1378"/>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歷史預期年化</w:t>
              <w:br/>
              <w:t>報酬率 E(R)</w:t>
            </w:r>
          </w:p>
        </w:tc>
        <w:tc>
          <w:tcPr>
            <w:tcW w:type="dxa" w:w="1378"/>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年化報酬率</w:t>
              <w:br/>
              <w:t>標準差 (σ)</w:t>
            </w:r>
          </w:p>
        </w:tc>
        <w:tc>
          <w:tcPr>
            <w:tcW w:type="dxa" w:w="1378"/>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年度內扣費用率</w:t>
              <w:br/>
              <w:t>或認購折價</w:t>
            </w:r>
          </w:p>
        </w:tc>
        <w:tc>
          <w:tcPr>
            <w:tcW w:type="dxa" w:w="1378"/>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次級市場流動性</w:t>
              <w:br/>
              <w:t>與定價機制</w:t>
            </w:r>
          </w:p>
        </w:tc>
        <w:tc>
          <w:tcPr>
            <w:tcW w:type="dxa" w:w="1378"/>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主要暴露之風險屬性</w:t>
            </w:r>
          </w:p>
        </w:tc>
      </w:tr>
      <w:tr>
        <w:tc>
          <w:tcPr>
            <w:tcW w:type="dxa" w:w="1378"/>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1. 元大台幣貨幣市場基金</w:t>
              <w:br/>
              <w:t>(TWD Money Market Fund)</w:t>
            </w:r>
          </w:p>
        </w:tc>
        <w:tc>
          <w:tcPr>
            <w:tcW w:type="dxa" w:w="1378"/>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央行定存單與</w:t>
              <w:br/>
              <w:t>短期商業本票</w:t>
            </w:r>
          </w:p>
        </w:tc>
        <w:tc>
          <w:tcPr>
            <w:tcW w:type="dxa" w:w="1378"/>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2.50%</w:t>
            </w:r>
          </w:p>
        </w:tc>
        <w:tc>
          <w:tcPr>
            <w:tcW w:type="dxa" w:w="1378"/>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0.50%</w:t>
            </w:r>
          </w:p>
        </w:tc>
        <w:tc>
          <w:tcPr>
            <w:tcW w:type="dxa" w:w="1378"/>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管理費 0.12%</w:t>
            </w:r>
          </w:p>
        </w:tc>
        <w:tc>
          <w:tcPr>
            <w:tcW w:type="dxa" w:w="1378"/>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極高 / 每日申贖</w:t>
              <w:br/>
              <w:t>淨值極度穩定</w:t>
            </w:r>
          </w:p>
        </w:tc>
        <w:tc>
          <w:tcPr>
            <w:tcW w:type="dxa" w:w="1378"/>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極低名目風險；面臨長期實質購買力遭通膨侵蝕風險</w:t>
            </w:r>
          </w:p>
        </w:tc>
      </w:tr>
      <w:tr>
        <w:tc>
          <w:tcPr>
            <w:tcW w:type="dxa" w:w="1378"/>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2. 元大投資級債與公債基金</w:t>
              <w:br/>
              <w:t>(對標 00679B / 00720B)</w:t>
            </w:r>
          </w:p>
        </w:tc>
        <w:tc>
          <w:tcPr>
            <w:tcW w:type="dxa" w:w="1378"/>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美國公債與台灣</w:t>
              <w:br/>
              <w:t>AAA~A級公司債</w:t>
            </w:r>
          </w:p>
        </w:tc>
        <w:tc>
          <w:tcPr>
            <w:tcW w:type="dxa" w:w="1378"/>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5.00%</w:t>
            </w:r>
          </w:p>
        </w:tc>
        <w:tc>
          <w:tcPr>
            <w:tcW w:type="dxa" w:w="1378"/>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6.00%</w:t>
            </w:r>
          </w:p>
        </w:tc>
        <w:tc>
          <w:tcPr>
            <w:tcW w:type="dxa" w:w="1378"/>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管理費 0.20%</w:t>
            </w:r>
          </w:p>
        </w:tc>
        <w:tc>
          <w:tcPr>
            <w:tcW w:type="dxa" w:w="1378"/>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高 / 每日按公開</w:t>
              <w:br/>
              <w:t>債市淨值 (NAV) 申贖</w:t>
            </w:r>
          </w:p>
        </w:tc>
        <w:tc>
          <w:tcPr>
            <w:tcW w:type="dxa" w:w="1378"/>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中低風險；主要承受市場利率波動風險與溫和信用利差風險</w:t>
            </w:r>
          </w:p>
        </w:tc>
      </w:tr>
      <w:tr>
        <w:tc>
          <w:tcPr>
            <w:tcW w:type="dxa" w:w="1378"/>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3. 元大台灣卓越 50 指數基金</w:t>
              <w:br/>
              <w:t>(對標 0050 / 006208 大型股)</w:t>
            </w:r>
          </w:p>
        </w:tc>
        <w:tc>
          <w:tcPr>
            <w:tcW w:type="dxa" w:w="1378"/>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台灣市值前 50 大</w:t>
              <w:br/>
              <w:t>護國神山龍頭股</w:t>
            </w:r>
          </w:p>
        </w:tc>
        <w:tc>
          <w:tcPr>
            <w:tcW w:type="dxa" w:w="1378"/>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10.00%</w:t>
            </w:r>
          </w:p>
        </w:tc>
        <w:tc>
          <w:tcPr>
            <w:tcW w:type="dxa" w:w="1378"/>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16.00%</w:t>
            </w:r>
          </w:p>
        </w:tc>
        <w:tc>
          <w:tcPr>
            <w:tcW w:type="dxa" w:w="1378"/>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管理費 0.10%</w:t>
              <w:br/>
              <w:t>(機構優惠費率)</w:t>
            </w:r>
          </w:p>
        </w:tc>
        <w:tc>
          <w:tcPr>
            <w:tcW w:type="dxa" w:w="1378"/>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極高 / 每日按台灣</w:t>
              <w:br/>
              <w:t>證交所收盤市價申贖</w:t>
            </w:r>
          </w:p>
        </w:tc>
        <w:tc>
          <w:tcPr>
            <w:tcW w:type="dxa" w:w="1378"/>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中高風險；消除單一個股倒閉風險，承擔台股大盤系統性風險</w:t>
            </w:r>
          </w:p>
        </w:tc>
      </w:tr>
      <w:tr>
        <w:tc>
          <w:tcPr>
            <w:tcW w:type="dxa" w:w="1378"/>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4. 富邦台灣中小動能成長基金</w:t>
              <w:br/>
              <w:t>(對標 00733 / 0051 中小股)</w:t>
            </w:r>
          </w:p>
        </w:tc>
        <w:tc>
          <w:tcPr>
            <w:tcW w:type="dxa" w:w="1378"/>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台灣高成長潛力</w:t>
              <w:br/>
              <w:t>中小型科技工業股</w:t>
            </w:r>
          </w:p>
        </w:tc>
        <w:tc>
          <w:tcPr>
            <w:tcW w:type="dxa" w:w="1378"/>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12.50%</w:t>
            </w:r>
          </w:p>
        </w:tc>
        <w:tc>
          <w:tcPr>
            <w:tcW w:type="dxa" w:w="1378"/>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24.00%</w:t>
            </w:r>
          </w:p>
        </w:tc>
        <w:tc>
          <w:tcPr>
            <w:tcW w:type="dxa" w:w="1378"/>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管理費 0.55%</w:t>
            </w:r>
          </w:p>
        </w:tc>
        <w:tc>
          <w:tcPr>
            <w:tcW w:type="dxa" w:w="1378"/>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高 / 每日按公開</w:t>
              <w:br/>
              <w:t>市場淨值 (NAV) 申贖</w:t>
            </w:r>
          </w:p>
        </w:tc>
        <w:tc>
          <w:tcPr>
            <w:tcW w:type="dxa" w:w="1378"/>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高風險；具中小型股規模與動能溢價，但景氣循環震盪劇烈</w:t>
            </w:r>
          </w:p>
        </w:tc>
      </w:tr>
      <w:tr>
        <w:tc>
          <w:tcPr>
            <w:tcW w:type="dxa" w:w="1378"/>
            <w:shd w:fill="FFFFFF"/>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5. 翔鷹航太未上市內部股票</w:t>
              <w:br/>
              <w:t>(AeroTaiwan Company Stock)</w:t>
            </w:r>
          </w:p>
        </w:tc>
        <w:tc>
          <w:tcPr>
            <w:tcW w:type="dxa" w:w="1378"/>
            <w:shd w:fill="FFFFFF"/>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未上市／未興櫃</w:t>
              <w:br/>
              <w:t>單一企業普通股</w:t>
            </w:r>
          </w:p>
        </w:tc>
        <w:tc>
          <w:tcPr>
            <w:tcW w:type="dxa" w:w="1378"/>
            <w:shd w:fill="FFFFFF"/>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不確定</w:t>
              <w:br/>
              <w:t>(視營運與IPO)</w:t>
            </w:r>
          </w:p>
        </w:tc>
        <w:tc>
          <w:tcPr>
            <w:tcW w:type="dxa" w:w="1378"/>
            <w:shd w:fill="FFFFFF"/>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極高</w:t>
              <w:br/>
              <w:t>(單一個股)</w:t>
            </w:r>
          </w:p>
        </w:tc>
        <w:tc>
          <w:tcPr>
            <w:tcW w:type="dxa" w:w="1378"/>
            <w:shd w:fill="FFFFFF"/>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享年度鑑價</w:t>
              <w:br/>
              <w:t>20% 折價 (8折)</w:t>
            </w:r>
          </w:p>
        </w:tc>
        <w:tc>
          <w:tcPr>
            <w:tcW w:type="dxa" w:w="1378"/>
            <w:shd w:fill="FFFFFF"/>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極低 / 無公開次級市場</w:t>
              <w:br/>
              <w:t>每年僅會計師鑑價一次</w:t>
            </w:r>
          </w:p>
        </w:tc>
        <w:tc>
          <w:tcPr>
            <w:tcW w:type="dxa" w:w="1378"/>
            <w:shd w:fill="FFFFFF"/>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特高風險；零分散度、缺乏流通性折價 (DLOM)、人力資本雙重曝險</w:t>
            </w:r>
          </w:p>
        </w:tc>
      </w:tr>
    </w:tbl>
    <w:p>
      <w:pPr>
        <w:spacing w:before="60" w:after="160"/>
      </w:pPr>
      <w:r>
        <w:rPr>
          <w:rFonts w:ascii="Times New Roman" w:hAnsi="Times New Roman" w:eastAsia="微軟正黑體"/>
          <w:b w:val="0"/>
          <w:i/>
          <w:color w:val="595959"/>
          <w:sz w:val="17"/>
        </w:rPr>
        <w:t>資料來源：受託機構公開說明書與臺灣證券交易所歷史指數回測資料彙整。</w:t>
      </w:r>
    </w:p>
    <w:tbl>
      <w:tblPr>
        <w:tblW w:type="auto" w:w="0"/>
        <w:jc w:val="center"/>
        <w:tblLook w:firstColumn="1" w:firstRow="1" w:lastColumn="0" w:lastRow="0" w:noHBand="0" w:noVBand="1" w:val="04A0"/>
      </w:tblPr>
      <w:tblGrid>
        <w:gridCol w:w="9648"/>
      </w:tblGrid>
      <w:tr>
        <w:tc>
          <w:tcPr>
            <w:tcW w:type="dxa" w:w="9648"/>
            <w:shd w:fill="F9F6F6"/>
            <w:tcMar>
              <w:top w:w="130" w:type="dxa"/>
              <w:bottom w:w="130" w:type="dxa"/>
              <w:left w:w="180" w:type="dxa"/>
              <w:right w:w="160" w:type="dxa"/>
            </w:tcMar>
            <w:tcBorders>
              <w:top w:val="single" w:sz="6" w:space="0" w:color="A51C30"/>
              <w:bottom w:val="single" w:sz="6" w:space="0" w:color="A51C30"/>
              <w:left w:val="single" w:sz="24" w:space="0" w:color="A51C30"/>
              <w:right w:val="none" w:sz="0" w:space="0" w:color="auto"/>
            </w:tcBorders>
          </w:tcPr>
          <w:p>
            <w:pPr>
              <w:spacing w:before="0" w:after="80"/>
            </w:pPr>
            <w:r>
              <w:rPr>
                <w:rFonts w:ascii="Times New Roman" w:hAnsi="Times New Roman" w:eastAsia="微軟正黑體"/>
                <w:b/>
                <w:i w:val="0"/>
                <w:color w:val="A51C30"/>
                <w:sz w:val="21"/>
              </w:rPr>
              <w:t>附錄四（Exhibit 4）　財務部張凱文副理交付之六道核心財務分析問題（Assignment Questions）</w:t>
            </w:r>
          </w:p>
          <w:p>
            <w:pPr>
              <w:spacing w:before="40" w:after="60" w:line="312" w:lineRule="auto"/>
            </w:pPr>
            <w:r>
              <w:rPr>
                <w:rFonts w:ascii="Times New Roman" w:hAnsi="Times New Roman" w:eastAsia="微軟正黑體"/>
                <w:b/>
                <w:i w:val="0"/>
                <w:color w:val="1B365D"/>
                <w:sz w:val="19"/>
              </w:rPr>
              <w:t>問題一（台股公開共同基金／ETF vs. 未上市雇主內部股票之風險收益結構剖析）：</w:t>
            </w:r>
            <w:r>
              <w:rPr>
                <w:rFonts w:ascii="Times New Roman" w:hAnsi="Times New Roman" w:eastAsia="微軟正黑體"/>
                <w:b w:val="0"/>
                <w:i w:val="0"/>
                <w:color w:val="1E1E1E"/>
                <w:sz w:val="19"/>
              </w:rPr>
              <w:t>作為長達 43 年的退休資產規劃，將資金配置於「元大台灣 50（0050）」等公開市場基金，相較於認購「翔鷹航太未上市內部股票」（雖有 20% 認購折價與 3～4 年台灣創新板 IPO 願景），在「非系統性風險分散」、「次級市場流動性（DLOM）」、「估值客觀透明度」以及「與個人人力資本（就業薪資）之相關性」四大維度上各具備哪些優缺點？王大衛（Dave）建議 100% 全押公司股票存在什麼致命風險？</w:t>
            </w:r>
          </w:p>
          <w:p>
            <w:pPr>
              <w:spacing w:before="40" w:after="60" w:line="312" w:lineRule="auto"/>
            </w:pPr>
            <w:r>
              <w:rPr>
                <w:rFonts w:ascii="Times New Roman" w:hAnsi="Times New Roman" w:eastAsia="微軟正黑體"/>
                <w:b/>
                <w:i w:val="0"/>
                <w:color w:val="1B365D"/>
                <w:sz w:val="19"/>
              </w:rPr>
              <w:t>問題二（雇主 1:1 對等提撥獎勵金之即時報酬率與 12% 綜所稅盾套利推導）：</w:t>
            </w:r>
            <w:r>
              <w:rPr>
                <w:rFonts w:ascii="Times New Roman" w:hAnsi="Times New Roman" w:eastAsia="微軟正黑體"/>
                <w:b w:val="0"/>
                <w:i w:val="0"/>
                <w:color w:val="1E1E1E"/>
                <w:sz w:val="19"/>
              </w:rPr>
              <w:t>在月薪 5%（每月 NT$2,500 元）範圍內，林宥辰每自提 NT$1 元，翔鷹航太即免費對等補貼 NT$1 元。(1) 單就名目本金而言，這代表多高的無風險即時投資報酬率？(2) 若計入台灣綜所稅 12% 邊際稅率下的稅前扣除省稅效益（Tax Shield），每犧牲 NT$1 元的稅後實拿薪資（Take-Home Pay），退休帳戶實際上能獲得多少新台幣資產？（並請延伸推算當未來宥辰升任主管、綜所稅率升至 20% 與 30% 時之稅後實質即時報酬率！）這對反駁陳建宏（Jason）「先提 0%」有何決定性啟示？</w:t>
            </w:r>
          </w:p>
          <w:p>
            <w:pPr>
              <w:spacing w:before="40" w:after="60" w:line="312" w:lineRule="auto"/>
            </w:pPr>
            <w:r>
              <w:rPr>
                <w:rFonts w:ascii="Times New Roman" w:hAnsi="Times New Roman" w:eastAsia="微軟正黑體"/>
                <w:b/>
                <w:i w:val="0"/>
                <w:color w:val="1B365D"/>
                <w:sz w:val="19"/>
              </w:rPr>
              <w:t>問題三（配置台灣大型權值股指數 0050 / 006208 之長期優勢與時間跨度評估）：</w:t>
            </w:r>
            <w:r>
              <w:rPr>
                <w:rFonts w:ascii="Times New Roman" w:hAnsi="Times New Roman" w:eastAsia="微軟正黑體"/>
                <w:b w:val="0"/>
                <w:i w:val="0"/>
                <w:color w:val="1E1E1E"/>
                <w:sz w:val="19"/>
              </w:rPr>
              <w:t>假設宥辰決定將退休資產的核心部位配置於「元大台灣卓越 50 指數基金（0050）」（預期含息年化報酬率 10.0%，標準差 16.0%）。從宥辰年僅 22 歲（距退休尚有 43 年）的時間跨度、實質購買力增長、低內扣費用率、前 50 大市值自動汰弱留強機制與定期定額微笑曲線觀點來看，該策略具備哪些優點與潛在風險？為何人資林組長（Linda）「全放台幣貨幣市場與債券基金保本」的建議反而對年輕人極度危險？</w:t>
            </w:r>
          </w:p>
          <w:p>
            <w:pPr>
              <w:spacing w:before="40" w:after="60" w:line="312" w:lineRule="auto"/>
            </w:pPr>
            <w:r>
              <w:rPr>
                <w:rFonts w:ascii="Times New Roman" w:hAnsi="Times New Roman" w:eastAsia="微軟正黑體"/>
                <w:b/>
                <w:i w:val="0"/>
                <w:color w:val="1B365D"/>
                <w:sz w:val="19"/>
              </w:rPr>
              <w:t>問題四（稅前自提對每月薪資單 Paycheck 與實拿現金之衝擊精算——新台幣計價）：</w:t>
            </w:r>
            <w:r>
              <w:rPr>
                <w:rFonts w:ascii="Times New Roman" w:hAnsi="Times New Roman" w:eastAsia="微軟正黑體"/>
                <w:b w:val="0"/>
                <w:i w:val="0"/>
                <w:color w:val="1E1E1E"/>
                <w:sz w:val="19"/>
              </w:rPr>
              <w:t>以宥辰起始年薪 NT$600,000 元（每月稅前全薪 NT$50,000 元）、適用綜所稅邊際稅率 12.0% 為基準，請建立完整薪資單試算表，分別計算在自提比例為 0%、5%、10% 與 15% 四種方案下：(1) 每月個人稅前自提額；(2) 每月雇主對等提撥額與每月存入退休專戶總額；(3) 每月課稅所得與節省之綜所稅額（Tax Saving）；(4) 每月實際到手薪資（Take-Home Pay）與實拿薪資減少額。請問每提撥 NT$1 元，宥辰口袋實際上只少了多少現金？</w:t>
            </w:r>
          </w:p>
          <w:p>
            <w:pPr>
              <w:spacing w:before="40" w:after="60" w:line="312" w:lineRule="auto"/>
            </w:pPr>
            <w:r>
              <w:rPr>
                <w:rFonts w:ascii="Times New Roman" w:hAnsi="Times New Roman" w:eastAsia="微軟正黑體"/>
                <w:b/>
                <w:i w:val="0"/>
                <w:color w:val="1B365D"/>
                <w:sz w:val="19"/>
              </w:rPr>
              <w:t>問題五（43 年退休資產複利精算：按年/按月雙模型與「晚 10 年儲蓄」之代價——新台幣計價）：</w:t>
            </w:r>
            <w:r>
              <w:rPr>
                <w:rFonts w:ascii="Times New Roman" w:hAnsi="Times New Roman" w:eastAsia="微軟正黑體"/>
                <w:b w:val="0"/>
                <w:i w:val="0"/>
                <w:color w:val="1E1E1E"/>
                <w:sz w:val="19"/>
              </w:rPr>
              <w:t>假設 43 年工作期間年薪維持 NT$600,000 元不變（實質購買力靜態基準）：(1) 分別依【模型 A：按年複利（n = 43 年）】與【模型 B：按月複利（N = 516 個月）】，精算自提 0%、5%、10%、15%（均加計雇主最高 5% 配比）在年化報酬率 8.0% 與 10.0% 下之 65 歲退休帳戶終值（新台幣）；(2) 為定量檢驗陳建宏「等 32 歲升主管再開始存」的說法，請精算對比「早鳥組（22～32 歲僅存 10 年即停扣，讓餘額滾存 33 年至 65 歲）」與「晚鳥組（22～32 歲不存，32～65 歲連續苦存 33 年）」在 10% 報酬率下之終值差異。</w:t>
            </w:r>
          </w:p>
          <w:p>
            <w:pPr>
              <w:spacing w:before="40" w:after="60" w:line="312" w:lineRule="auto"/>
            </w:pPr>
            <w:r>
              <w:rPr>
                <w:rFonts w:ascii="Times New Roman" w:hAnsi="Times New Roman" w:eastAsia="微軟正黑體"/>
                <w:b/>
                <w:i w:val="0"/>
                <w:color w:val="1B365D"/>
                <w:sz w:val="19"/>
              </w:rPr>
              <w:t>問題六（致張凱文副理之全方位退休提撥與台幣 ETF 生命週期資產配置備忘錄）：</w:t>
            </w:r>
            <w:r>
              <w:rPr>
                <w:rFonts w:ascii="Times New Roman" w:hAnsi="Times New Roman" w:eastAsia="微軟正黑體"/>
                <w:b w:val="0"/>
                <w:i w:val="0"/>
                <w:color w:val="1E1E1E"/>
                <w:sz w:val="19"/>
              </w:rPr>
              <w:t>請綜合現代投資組合理論（MPT）、行為財務學「Save More Tomorrow (SMarT)」自動遞增機制與生命週期投資法（Life-Cycle Investing），為 22 歲的林宥辰設計一份具體可行的：(1) 初始自提比例與隨加薪動態遞增計畫；(2) 五大台幣標的之初始權重配置百分比（並精算該組合之預期年化報酬率 E(R_p)）；(3) 橫跨 22 歲至 65 歲的四階段生命週期動態滑降路徑（Glide Path）與年度再平衡紀律。</w:t>
            </w:r>
          </w:p>
        </w:tc>
      </w:tr>
    </w:tbl>
    <w:p>
      <w:pPr>
        <w:spacing w:before="0" w:after="80"/>
      </w:pPr>
    </w:p>
    <w:p>
      <w:r>
        <w:br w:type="page"/>
      </w:r>
    </w:p>
    <w:tbl>
      <w:tblPr>
        <w:tblW w:type="auto" w:w="0"/>
        <w:jc w:val="center"/>
        <w:tblLook w:firstColumn="1" w:firstRow="1" w:lastColumn="0" w:lastRow="0" w:noHBand="0" w:noVBand="1" w:val="04A0"/>
      </w:tblPr>
      <w:tblGrid>
        <w:gridCol w:w="4824"/>
        <w:gridCol w:w="4824"/>
      </w:tblGrid>
      <w:tr>
        <w:tc>
          <w:tcPr>
            <w:tcW w:type="dxa" w:w="4824"/>
            <w:tcMar>
              <w:top w:w="40" w:type="dxa"/>
              <w:bottom w:w="60" w:type="dxa"/>
              <w:left w:w="0" w:type="dxa"/>
              <w:right w:w="0" w:type="dxa"/>
            </w:tcMar>
            <w:tcBorders>
              <w:top w:val="none" w:sz="0" w:space="0" w:color="auto"/>
              <w:bottom w:val="single" w:sz="18" w:space="0" w:color="A51C30"/>
              <w:left w:val="none" w:sz="0" w:space="0" w:color="auto"/>
              <w:right w:val="none" w:sz="0" w:space="0" w:color="auto"/>
            </w:tcBorders>
          </w:tcPr>
          <w:p>
            <w:pPr>
              <w:spacing w:before="0" w:after="0"/>
            </w:pPr>
            <w:r>
              <w:rPr>
                <w:rFonts w:ascii="Times New Roman" w:hAnsi="Times New Roman" w:eastAsia="微軟正黑體"/>
                <w:b/>
                <w:i w:val="0"/>
                <w:color w:val="A51C30"/>
                <w:sz w:val="18"/>
              </w:rPr>
              <w:t>HARVARD BUSINESS SCHOOL STYLE CASE SERIES (TAIWAN LOCALIZED)</w:t>
              <w:br/>
              <w:t>HARVARD BUSINESS SCHOOL STYLE TEACHING NOTE (TAIWAN EDITION) | 教師授課專用教學指引（機密）</w:t>
            </w:r>
          </w:p>
        </w:tc>
        <w:tc>
          <w:tcPr>
            <w:tcW w:type="dxa" w:w="4824"/>
            <w:tcMar>
              <w:top w:w="40" w:type="dxa"/>
              <w:bottom w:w="60" w:type="dxa"/>
              <w:left w:w="0" w:type="dxa"/>
              <w:right w:w="0" w:type="dxa"/>
            </w:tcMar>
            <w:tcBorders>
              <w:top w:val="none" w:sz="0" w:space="0" w:color="auto"/>
              <w:bottom w:val="single" w:sz="18" w:space="0" w:color="A51C30"/>
              <w:left w:val="none" w:sz="0" w:space="0" w:color="auto"/>
              <w:right w:val="none" w:sz="0" w:space="0" w:color="auto"/>
            </w:tcBorders>
          </w:tcPr>
          <w:p>
            <w:pPr>
              <w:spacing w:before="0" w:after="0"/>
              <w:jc w:val="right"/>
            </w:pPr>
            <w:r>
              <w:rPr>
                <w:rFonts w:ascii="Times New Roman" w:hAnsi="Times New Roman" w:eastAsia="微軟正黑體"/>
                <w:b/>
                <w:i w:val="0"/>
                <w:color w:val="595959"/>
                <w:sz w:val="18"/>
              </w:rPr>
              <w:t>文件編號：HBS-FIN-11501-TWTN1</w:t>
              <w:br/>
              <w:t>修訂日期：2026年10月 台灣本土制度教師專用版</w:t>
            </w:r>
          </w:p>
        </w:tc>
      </w:tr>
    </w:tbl>
    <w:p>
      <w:pPr>
        <w:spacing w:before="280" w:after="80"/>
      </w:pPr>
      <w:r>
        <w:rPr>
          <w:rFonts w:ascii="Times New Roman" w:hAnsi="Times New Roman" w:eastAsia="微軟正黑體"/>
          <w:b/>
          <w:i w:val="0"/>
          <w:color w:val="1E1E1E"/>
          <w:sz w:val="36"/>
        </w:rPr>
        <w:t>《翔鷹航太科技：勞退自提、員工福利信託與台幣 ETF 資產配置抉擇》教學指引</w:t>
      </w:r>
    </w:p>
    <w:p>
      <w:pPr>
        <w:spacing w:before="0" w:after="160"/>
      </w:pPr>
      <w:r>
        <w:rPr>
          <w:rFonts w:ascii="Times New Roman" w:hAnsi="Times New Roman" w:eastAsia="微軟正黑體"/>
          <w:b w:val="0"/>
          <w:i/>
          <w:color w:val="595959"/>
          <w:sz w:val="21"/>
        </w:rPr>
        <w:t>Teaching Note — AeroTaiwan Corp.: Labor Pension, Employee Trust Match, and TWD ETF Portfolio Allocation</w:t>
      </w:r>
    </w:p>
    <w:p>
      <w:pPr>
        <w:spacing w:before="0" w:after="240"/>
        <w:pBdr>
          <w:bottom w:val="single" w:sz="6" w:space="6" w:color="CCCCCC"/>
        </w:pBdr>
      </w:pPr>
      <w:r>
        <w:rPr>
          <w:rFonts w:ascii="Times New Roman" w:hAnsi="Times New Roman" w:eastAsia="微軟正黑體"/>
          <w:b w:val="0"/>
          <w:i/>
          <w:color w:val="595959"/>
          <w:sz w:val="17"/>
        </w:rPr>
        <w:t>本教學指引依循哈佛商學院（HBS）個案教學法規範編撰，專為台灣商管學院 EMBA／碩士在職專班與大學部財務課程設計，完美結合台灣《勞退條例》自提節稅、上市櫃／準上市企業員工福利信託（ESOP）以及台股 0050／00733／債券 ETF 實務。</w:t>
      </w:r>
    </w:p>
    <w:p>
      <w:pPr>
        <w:keepNext/>
        <w:spacing w:before="320" w:after="120"/>
        <w:pBdr>
          <w:bottom w:val="single" w:sz="8" w:space="3" w:color="A51C30"/>
        </w:pBdr>
      </w:pPr>
      <w:r>
        <w:rPr>
          <w:rFonts w:ascii="Times New Roman" w:hAnsi="Times New Roman" w:eastAsia="微軟正黑體"/>
          <w:b/>
          <w:i w:val="0"/>
          <w:color w:val="A51C30"/>
          <w:sz w:val="26"/>
        </w:rPr>
        <w:t>壹、個案摘要與核心決策衝突（Case Synopsis &amp; Central Dilemma）</w:t>
      </w:r>
    </w:p>
    <w:p>
      <w:pPr>
        <w:spacing w:before="0" w:after="120" w:line="331" w:lineRule="auto"/>
      </w:pPr>
      <w:r>
        <w:rPr>
          <w:rFonts w:ascii="Times New Roman" w:hAnsi="Times New Roman" w:eastAsia="微軟正黑體"/>
          <w:b w:val="0"/>
          <w:i w:val="0"/>
          <w:color w:val="1E1E1E"/>
          <w:sz w:val="21"/>
        </w:rPr>
        <w:t>本個案設定於台中精密機械科技創新園區之商用無人機與輕型航太製造商「翔鷹航太科技股份有限公司（AeroTaiwan Corp.）」。主角林宥辰（Yu-Chen Lin）是現年 22 歲的國立大學財金系應屆畢業生，錄取財務部初階財務分析師（起始年薪 NT$600,000 元，折合每月稅前全薪 NT$50,000 元，適用台灣綜合所得稅邊際稅率 12.0%，預計 65 歲退休，投資複利期長達 43 年／516 個月）。在入職第一週週五下午五點前，宥辰必須決定《翔鷹航太自主退休儲蓄與企業對等福利信託計畫》之個人稅前自提比例（0%～15%）與五大台幣投資標的（台幣貨幣市場基金、投資級債券 ETF 基金、元大台灣 50 指數基金 0050、富邦台灣中小動能成長基金 00733、翔鷹航太未上市內部股票）之配置權重，並向資深財務副理張凱文（Kevin Chang）呈交量化分析備忘錄。</w:t>
      </w:r>
    </w:p>
    <w:p>
      <w:pPr>
        <w:spacing w:before="0" w:after="120" w:line="331" w:lineRule="auto"/>
      </w:pPr>
      <w:r>
        <w:rPr>
          <w:rFonts w:ascii="Times New Roman" w:hAnsi="Times New Roman" w:eastAsia="微軟正黑體"/>
          <w:b w:val="0"/>
          <w:i w:val="0"/>
          <w:color w:val="1E1E1E"/>
          <w:sz w:val="21"/>
        </w:rPr>
        <w:t>個案透過茶水間三位台灣同事的觀點交鋒，精準再現台灣職場人最典型的三大理財盲點：</w:t>
      </w:r>
    </w:p>
    <w:p>
      <w:pPr>
        <w:spacing w:before="0" w:after="120" w:line="331" w:lineRule="auto"/>
        <w:ind w:left="216"/>
      </w:pPr>
      <w:r>
        <w:rPr>
          <w:rFonts w:ascii="Times New Roman" w:hAnsi="Times New Roman" w:eastAsia="微軟正黑體"/>
          <w:b/>
          <w:i w:val="0"/>
          <w:color w:val="1B365D"/>
          <w:sz w:val="21"/>
        </w:rPr>
        <w:t>• 衝突一（同梯業務陳建宏 Jason 的「月光拖延論」）：</w:t>
      </w:r>
      <w:r>
        <w:rPr>
          <w:rFonts w:ascii="Times New Roman" w:hAnsi="Times New Roman" w:eastAsia="微軟正黑體"/>
          <w:b w:val="0"/>
          <w:i w:val="0"/>
          <w:color w:val="1E1E1E"/>
          <w:sz w:val="21"/>
        </w:rPr>
        <w:t>認為台中租屋、學貸與日常開銷沉重，月薪五萬應勾選「自提 0%」，等 32 歲升任副理、年薪破百萬後再開始存——反映行為財務學之「現時偏誤（Present Bias）」，嚴重忽略了「12% 綜所稅盾＋雇主 5% 對等補助獎勵金（100% 即時無風險報酬）」與前 10 年黃金複利價值。</w:t>
      </w:r>
    </w:p>
    <w:p>
      <w:pPr>
        <w:spacing w:before="0" w:after="120" w:line="331" w:lineRule="auto"/>
        <w:ind w:left="216"/>
      </w:pPr>
      <w:r>
        <w:rPr>
          <w:rFonts w:ascii="Times New Roman" w:hAnsi="Times New Roman" w:eastAsia="微軟正黑體"/>
          <w:b/>
          <w:i w:val="0"/>
          <w:color w:val="1B365D"/>
          <w:sz w:val="21"/>
        </w:rPr>
        <w:t>• 衝突二（資深工程師王大衛 Dave 的「八折未上市股全押論」）：</w:t>
      </w:r>
      <w:r>
        <w:rPr>
          <w:rFonts w:ascii="Times New Roman" w:hAnsi="Times New Roman" w:eastAsia="微軟正黑體"/>
          <w:b w:val="0"/>
          <w:i w:val="0"/>
          <w:color w:val="1E1E1E"/>
          <w:sz w:val="21"/>
        </w:rPr>
        <w:t>主張將退休金「100% 全押翔鷹航太未上市內部股票」，貪圖公司提供的 8 折認購優惠（現買現賺 25%）與 3～4 年後登錄台灣創新板／上市 IPO 翻倍行情——反映「熟悉偏誤（Familiarity Bias）」，忽略了未上市股票高達 20%～35% 的「缺乏市場流通性折價（DLOM）」與「失業＋退休金歸零」的人力資本雙重曝險。</w:t>
      </w:r>
    </w:p>
    <w:p>
      <w:pPr>
        <w:spacing w:before="0" w:after="120" w:line="331" w:lineRule="auto"/>
        <w:ind w:left="216"/>
      </w:pPr>
      <w:r>
        <w:rPr>
          <w:rFonts w:ascii="Times New Roman" w:hAnsi="Times New Roman" w:eastAsia="微軟正黑體"/>
          <w:b/>
          <w:i w:val="0"/>
          <w:color w:val="1B365D"/>
          <w:sz w:val="21"/>
        </w:rPr>
        <w:t>• 衝突三（人資組長林淑芬 Linda 的「定存保本至上論」）：</w:t>
      </w:r>
      <w:r>
        <w:rPr>
          <w:rFonts w:ascii="Times New Roman" w:hAnsi="Times New Roman" w:eastAsia="微軟正黑體"/>
          <w:b w:val="0"/>
          <w:i w:val="0"/>
          <w:color w:val="1E1E1E"/>
          <w:sz w:val="21"/>
        </w:rPr>
        <w:t>因家人曾於 2022 年台股萬八崩跌五千點時受創，主張養老錢絕不能見紅，應「100% 配置於台幣貨幣市場基金（2.5%）與債券基金（5.0%）」——反映「短視損失趨避（Myopic Loss Aversion）」，將短期市場波動誤認為永久本金損失，卻讓 43 年退休購買力遭通膨吞噬。</w:t>
      </w:r>
    </w:p>
    <w:p>
      <w:pPr>
        <w:keepNext/>
        <w:spacing w:before="320" w:after="120"/>
        <w:pBdr>
          <w:bottom w:val="single" w:sz="8" w:space="3" w:color="A51C30"/>
        </w:pBdr>
      </w:pPr>
      <w:r>
        <w:rPr>
          <w:rFonts w:ascii="Times New Roman" w:hAnsi="Times New Roman" w:eastAsia="微軟正黑體"/>
          <w:b/>
          <w:i w:val="0"/>
          <w:color w:val="A51C30"/>
          <w:sz w:val="26"/>
        </w:rPr>
        <w:t>貳、教學定位、適用課程與五大核心學習目標（Pedagogical Objectives）</w:t>
      </w:r>
    </w:p>
    <w:p>
      <w:pPr>
        <w:spacing w:before="0" w:after="120" w:line="331" w:lineRule="auto"/>
      </w:pPr>
      <w:r>
        <w:rPr>
          <w:rFonts w:ascii="Times New Roman" w:hAnsi="Times New Roman" w:eastAsia="微軟正黑體"/>
          <w:b w:val="0"/>
          <w:i w:val="0"/>
          <w:color w:val="1E1E1E"/>
          <w:sz w:val="21"/>
        </w:rPr>
        <w:t>本個案消除了美國 401(k) 的跨國法規隔閡，直接採用新台幣薪資（月薪 5 萬／年薪 60 萬）、台灣綜所稅級距（12% ➔ 20% ➔ 30% ➔ 40%）、台灣《勞退條例》自提稅盾、企業員工福利信託對等補助與台灣投資人耳熟能詳的 **0050（台灣 50）**、**00733（台灣中小）**、**00679B（美債/投資級債）** 為標的。完成本個案研討後，學員應達成以下五大教學目標：</w:t>
      </w:r>
    </w:p>
    <w:p>
      <w:pPr>
        <w:spacing w:before="0" w:after="120" w:line="331" w:lineRule="auto"/>
      </w:pPr>
      <w:r>
        <w:rPr>
          <w:rFonts w:ascii="Times New Roman" w:hAnsi="Times New Roman" w:eastAsia="微軟正黑體"/>
          <w:b/>
          <w:i w:val="0"/>
          <w:color w:val="1B365D"/>
          <w:sz w:val="21"/>
        </w:rPr>
        <w:t>1. 洞悉雇主對等提撥與台灣綜所稅盾之「三方槓桿無風險套利」：</w:t>
      </w:r>
      <w:r>
        <w:rPr>
          <w:rFonts w:ascii="Times New Roman" w:hAnsi="Times New Roman" w:eastAsia="微軟正黑體"/>
          <w:b w:val="0"/>
          <w:i w:val="0"/>
          <w:color w:val="1E1E1E"/>
          <w:sz w:val="21"/>
        </w:rPr>
        <w:t>證明在月薪 5%（NT$2,500）額度內，雇主 1:1 對等補貼創造「名目即時報酬率 +100.00%」；若計入台灣綜所稅 12% 邊際稅率之稅前扣除稅盾（每自提 NT$1.00 實拿薪資僅減少 NT$0.88），其對犧牲可支配現金之「稅後實質即時報酬率」高達 +127.27%（資金瞬間放大 2.27 倍！若為綜所稅率 20%～30% 之 EMBA 主管，稅後實質即時報酬率更飆升至 +150.00%～+185.71%）。</w:t>
      </w:r>
    </w:p>
    <w:p>
      <w:pPr>
        <w:spacing w:before="0" w:after="120" w:line="331" w:lineRule="auto"/>
      </w:pPr>
      <w:r>
        <w:rPr>
          <w:rFonts w:ascii="Times New Roman" w:hAnsi="Times New Roman" w:eastAsia="微軟正黑體"/>
          <w:b/>
          <w:i w:val="0"/>
          <w:color w:val="1B365D"/>
          <w:sz w:val="21"/>
        </w:rPr>
        <w:t>2. 量化 43 年新台幣複利指數效應與「延遲 10 年儲蓄」之機會成本：</w:t>
      </w:r>
      <w:r>
        <w:rPr>
          <w:rFonts w:ascii="Times New Roman" w:hAnsi="Times New Roman" w:eastAsia="微軟正黑體"/>
          <w:b w:val="0"/>
          <w:i w:val="0"/>
          <w:color w:val="1E1E1E"/>
          <w:sz w:val="21"/>
        </w:rPr>
        <w:t>熟練運用普通年金終值公式（按年複利 n=43 年與按月複利 N=516 個月雙模型），並透過「22 歲早鳥僅存 10 年（本金 60 萬 ➔ 終值 2,221 萬）完勝 32 歲晚鳥苦存 33 年（本金 198 萬 ➔ 終值 1,334 萬）」之震撼對比，量化拖延 10 年高達 NT$2,221 萬元的時間複利損失。</w:t>
      </w:r>
    </w:p>
    <w:p>
      <w:pPr>
        <w:spacing w:before="0" w:after="120" w:line="331" w:lineRule="auto"/>
      </w:pPr>
      <w:r>
        <w:rPr>
          <w:rFonts w:ascii="Times New Roman" w:hAnsi="Times New Roman" w:eastAsia="微軟正黑體"/>
          <w:b/>
          <w:i w:val="0"/>
          <w:color w:val="1B365D"/>
          <w:sz w:val="21"/>
        </w:rPr>
        <w:t>3. 深化現代投資組合理論（MPT）與台灣科技業常見之雙重曝險意識：</w:t>
      </w:r>
      <w:r>
        <w:rPr>
          <w:rFonts w:ascii="Times New Roman" w:hAnsi="Times New Roman" w:eastAsia="微軟正黑體"/>
          <w:b w:val="0"/>
          <w:i w:val="0"/>
          <w:color w:val="1E1E1E"/>
          <w:sz w:val="21"/>
        </w:rPr>
        <w:t>剖析台灣未上市／準興櫃公司員工認股與上市櫃員工持股信託（ESOP）常見之「人力資本與金融資產高度正相關（ρ ≈ +1）」風險，以及未上市股權缺乏次級市場流通性折價（DLOM）。</w:t>
      </w:r>
    </w:p>
    <w:p>
      <w:pPr>
        <w:spacing w:before="0" w:after="120" w:line="331" w:lineRule="auto"/>
      </w:pPr>
      <w:r>
        <w:rPr>
          <w:rFonts w:ascii="Times New Roman" w:hAnsi="Times New Roman" w:eastAsia="微軟正黑體"/>
          <w:b/>
          <w:i w:val="0"/>
          <w:color w:val="1B365D"/>
          <w:sz w:val="21"/>
        </w:rPr>
        <w:t>4. 建立以台股市值型 ETF 為核心之長期退休資產配置邏輯：</w:t>
      </w:r>
      <w:r>
        <w:rPr>
          <w:rFonts w:ascii="Times New Roman" w:hAnsi="Times New Roman" w:eastAsia="微軟正黑體"/>
          <w:b w:val="0"/>
          <w:i w:val="0"/>
          <w:color w:val="1E1E1E"/>
          <w:sz w:val="21"/>
        </w:rPr>
        <w:t>論證為何 22 歲台灣青年應以「元大台灣 50（0050 / 006208）」搭配「中小型動能成長股 ETF（00733 / 0051）」作為核心成長引擎，並善用每月發薪定期定額之微笑曲線優勢撫平台股景氣循環波動。</w:t>
      </w:r>
    </w:p>
    <w:p>
      <w:pPr>
        <w:spacing w:before="0" w:after="120" w:line="331" w:lineRule="auto"/>
      </w:pPr>
      <w:r>
        <w:rPr>
          <w:rFonts w:ascii="Times New Roman" w:hAnsi="Times New Roman" w:eastAsia="微軟正黑體"/>
          <w:b/>
          <w:i w:val="0"/>
          <w:color w:val="1B365D"/>
          <w:sz w:val="21"/>
        </w:rPr>
        <w:t>5. 結合行為財務學推力（Nudge）與生命週期投資法（Life-Cycle Investing）：</w:t>
      </w:r>
      <w:r>
        <w:rPr>
          <w:rFonts w:ascii="Times New Roman" w:hAnsi="Times New Roman" w:eastAsia="微軟正黑體"/>
          <w:b w:val="0"/>
          <w:i w:val="0"/>
          <w:color w:val="1E1E1E"/>
          <w:sz w:val="21"/>
        </w:rPr>
        <w:t>運用諾貝爾獎得主 Richard Thaler 之「Save More Tomorrow (SMarT)」機制與四階段生命週期滑降路徑（Glide Path），完成從 22 歲至 65 歲的動態退休財務規劃。</w:t>
      </w:r>
    </w:p>
    <w:p>
      <w:pPr>
        <w:keepNext/>
        <w:spacing w:before="320" w:after="120"/>
        <w:pBdr>
          <w:bottom w:val="single" w:sz="8" w:space="3" w:color="A51C30"/>
        </w:pBdr>
      </w:pPr>
      <w:r>
        <w:rPr>
          <w:rFonts w:ascii="Times New Roman" w:hAnsi="Times New Roman" w:eastAsia="微軟正黑體"/>
          <w:b/>
          <w:i w:val="0"/>
          <w:color w:val="A51C30"/>
          <w:sz w:val="26"/>
        </w:rPr>
        <w:t>參、台灣真實退休金法規與個案設定之教學銜接說明（Taiwan Institutional Guide）</w:t>
      </w:r>
    </w:p>
    <w:tbl>
      <w:tblPr>
        <w:tblW w:type="auto" w:w="0"/>
        <w:jc w:val="center"/>
        <w:tblLook w:firstColumn="1" w:firstRow="1" w:lastColumn="0" w:lastRow="0" w:noHBand="0" w:noVBand="1" w:val="04A0"/>
      </w:tblPr>
      <w:tblGrid>
        <w:gridCol w:w="9648"/>
      </w:tblGrid>
      <w:tr>
        <w:tc>
          <w:tcPr>
            <w:tcW w:type="dxa" w:w="9648"/>
            <w:shd w:fill="F9F6F6"/>
            <w:tcMar>
              <w:top w:w="130" w:type="dxa"/>
              <w:bottom w:w="130" w:type="dxa"/>
              <w:left w:w="180" w:type="dxa"/>
              <w:right w:w="160" w:type="dxa"/>
            </w:tcMar>
            <w:tcBorders>
              <w:top w:val="single" w:sz="6" w:space="0" w:color="A51C30"/>
              <w:bottom w:val="single" w:sz="6" w:space="0" w:color="A51C30"/>
              <w:left w:val="single" w:sz="24" w:space="0" w:color="A51C30"/>
              <w:right w:val="none" w:sz="0" w:space="0" w:color="auto"/>
            </w:tcBorders>
          </w:tcPr>
          <w:p>
            <w:pPr>
              <w:spacing w:before="0" w:after="80"/>
            </w:pPr>
            <w:r>
              <w:rPr>
                <w:rFonts w:ascii="Times New Roman" w:hAnsi="Times New Roman" w:eastAsia="微軟正黑體"/>
                <w:b/>
                <w:i w:val="0"/>
                <w:color w:val="A51C30"/>
                <w:sz w:val="21"/>
              </w:rPr>
              <w:t>📌 教師法規備忘錄：台灣真實退休金三支柱 vs. 本個案整合架構解析</w:t>
            </w:r>
          </w:p>
          <w:p>
            <w:pPr>
              <w:spacing w:before="40" w:after="60" w:line="312" w:lineRule="auto"/>
            </w:pPr>
            <w:r>
              <w:rPr>
                <w:rFonts w:ascii="Times New Roman" w:hAnsi="Times New Roman" w:eastAsia="微軟正黑體"/>
                <w:b/>
                <w:i w:val="0"/>
                <w:color w:val="1B365D"/>
                <w:sz w:val="19"/>
              </w:rPr>
              <w:t>1. 為什麼本個案將「勞退自提稅盾」與「企業福利信託對等配比＋自選 ETF」結合？</w:t>
            </w:r>
            <w:r>
              <w:rPr>
                <w:rFonts w:ascii="Times New Roman" w:hAnsi="Times New Roman" w:eastAsia="微軟正黑體"/>
                <w:b w:val="0"/>
                <w:i w:val="0"/>
                <w:color w:val="1E1E1E"/>
                <w:sz w:val="19"/>
              </w:rPr>
              <w:t>在台灣現行法規下，退休理財工具分散於三個機制：①《勞工退休金條例》第 14 條規定，雇主每月強制提繳 ≥6%，且勞工可在工資 6% 內自願提繳，享「100% 全額自當年度個人綜合所得總額扣除免稅」之稅盾，但目前勞退專戶由勞動基金運用局統籌操作，尚未開放一般勞工自選 ETF（僅私校退撫儲金已開放自主投資平台）；② 台灣各大上市櫃公司與科技廠普遍設立「員工持股信託／福委會儲蓄信託」，提供員工自提、公司相對提撥 30%～100% 獎勵金（Company Match）；③ 勞工個人透過券商定期定額扣款 0050 / 00679B 等台幣 ETF。本個案採用外商與標竿企業之「整合型彈性福利退休平台」架構，讓學員能在同一張決策表上同時演練「稅盾精算、雇主 Match 套利、未上市認股風險與台幣 ETF 資產配置」！</w:t>
            </w:r>
          </w:p>
          <w:p>
            <w:pPr>
              <w:spacing w:before="40" w:after="60" w:line="312" w:lineRule="auto"/>
            </w:pPr>
            <w:r>
              <w:rPr>
                <w:rFonts w:ascii="Times New Roman" w:hAnsi="Times New Roman" w:eastAsia="微軟正黑體"/>
                <w:b/>
                <w:i w:val="0"/>
                <w:color w:val="1B365D"/>
                <w:sz w:val="19"/>
              </w:rPr>
              <w:t>2. 台灣綜所稅邊際稅率級距（5% / 12% / 20% / 30% / 40%）之課堂延伸：</w:t>
            </w:r>
            <w:r>
              <w:rPr>
                <w:rFonts w:ascii="Times New Roman" w:hAnsi="Times New Roman" w:eastAsia="微軟正黑體"/>
                <w:b w:val="0"/>
                <w:i w:val="0"/>
                <w:color w:val="1E1E1E"/>
                <w:sz w:val="19"/>
              </w:rPr>
              <w:t>本個案主角林宥辰（22 歲單身，年薪 60 萬）設定適用 12% 邊際稅率，每自提 NT$100 當期省稅 NT$12（實質自付 NT$88）。教師在 EMBA 或碩士在職專班授課時，務必引導台下年薪百萬至數百萬的中高階主管學員代入自身稅率（20%、30%、40%）：當邊際稅率為 30% 時，辦理「勞退自提 6%」每存入 NT$100，國稅局直接幫你出 NT$30，自己口袋只少 NT$70，光靠減稅盾在提撥當下就現賺 (100 - 70) ÷ 70 = +42.86% 的無風險報酬率！若為 40% 稅率級距，當期省稅報酬率更高達 (100 - 60) ÷ 60 = +66.67%！</w:t>
            </w:r>
          </w:p>
        </w:tc>
      </w:tr>
    </w:tbl>
    <w:p>
      <w:pPr>
        <w:spacing w:before="0" w:after="80"/>
      </w:pPr>
    </w:p>
    <w:p>
      <w:pPr>
        <w:keepNext/>
        <w:spacing w:before="320" w:after="120"/>
        <w:pBdr>
          <w:bottom w:val="single" w:sz="8" w:space="3" w:color="A51C30"/>
        </w:pBdr>
      </w:pPr>
      <w:r>
        <w:rPr>
          <w:rFonts w:ascii="Times New Roman" w:hAnsi="Times New Roman" w:eastAsia="微軟正黑體"/>
          <w:b/>
          <w:i w:val="0"/>
          <w:color w:val="A51C30"/>
          <w:sz w:val="26"/>
        </w:rPr>
        <w:t>肆、課堂教學節奏與五幕蘇格拉底式帶領劇本（Class Choreography &amp; Pastures）</w:t>
      </w:r>
    </w:p>
    <w:p>
      <w:pPr>
        <w:keepNext/>
        <w:spacing w:before="240" w:after="80"/>
      </w:pPr>
      <w:r>
        <w:rPr>
          <w:rFonts w:ascii="Times New Roman" w:hAnsi="Times New Roman" w:eastAsia="微軟正黑體"/>
          <w:b/>
          <w:i w:val="0"/>
          <w:color w:val="A51C30"/>
          <w:sz w:val="21"/>
        </w:rPr>
        <w:t xml:space="preserve">教學時程表（Teaching Schedule）　</w:t>
      </w:r>
      <w:r>
        <w:rPr>
          <w:rFonts w:ascii="Times New Roman" w:hAnsi="Times New Roman" w:eastAsia="微軟正黑體"/>
          <w:b/>
          <w:i w:val="0"/>
          <w:color w:val="1E1E1E"/>
          <w:sz w:val="21"/>
        </w:rPr>
        <w:t>90 分鐘精華版 ／ 180 分鐘完整版課堂五幕帶領節奏與板書對應表（台灣本土版）</w:t>
      </w:r>
    </w:p>
    <w:tbl>
      <w:tblPr>
        <w:tblW w:type="auto" w:w="0"/>
        <w:jc w:val="center"/>
        <w:tblLook w:firstColumn="1" w:firstRow="1" w:lastColumn="0" w:lastRow="0" w:noHBand="0" w:noVBand="1" w:val="04A0"/>
      </w:tblPr>
      <w:tblGrid>
        <w:gridCol w:w="2412"/>
        <w:gridCol w:w="2412"/>
        <w:gridCol w:w="2412"/>
        <w:gridCol w:w="2412"/>
      </w:tblGrid>
      <w:tr>
        <w:tc>
          <w:tcPr>
            <w:tcW w:type="dxa" w:w="2412"/>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教學牧場 (Pasture)</w:t>
            </w:r>
          </w:p>
        </w:tc>
        <w:tc>
          <w:tcPr>
            <w:tcW w:type="dxa" w:w="2412"/>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時間配比</w:t>
              <w:br/>
              <w:t>(90m / 180m)</w:t>
            </w:r>
          </w:p>
        </w:tc>
        <w:tc>
          <w:tcPr>
            <w:tcW w:type="dxa" w:w="2412"/>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核心研討議題與台灣職場角色交鋒</w:t>
            </w:r>
          </w:p>
        </w:tc>
        <w:tc>
          <w:tcPr>
            <w:tcW w:type="dxa" w:w="2412"/>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教師提問策略 (Cold Call / Poll) 與板書落點</w:t>
            </w:r>
          </w:p>
        </w:tc>
      </w:tr>
      <w:tr>
        <w:tc>
          <w:tcPr>
            <w:tcW w:type="dxa" w:w="2412"/>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第一幕 (Pasture 1)</w:t>
              <w:br/>
              <w:t>破冰投票與茶水間三方辯論</w:t>
            </w:r>
          </w:p>
        </w:tc>
        <w:tc>
          <w:tcPr>
            <w:tcW w:type="dxa" w:w="2412"/>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15 分鐘 /</w:t>
              <w:br/>
              <w:t>25 分鐘</w:t>
            </w:r>
          </w:p>
        </w:tc>
        <w:tc>
          <w:tcPr>
            <w:tcW w:type="dxa" w:w="2412"/>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檢視學員課前對林宥辰的建議：要聽陳建宏（先提 0%）、王大衛（全押 8 折翔鷹未上市股）還是林組長（全放台幣貨幣與債券）？</w:t>
            </w:r>
          </w:p>
        </w:tc>
        <w:tc>
          <w:tcPr>
            <w:tcW w:type="dxa" w:w="2412"/>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 現場舉手投票統計</w:t>
              <w:br/>
              <w:t>• 點名支持各派之學員陳述理由</w:t>
              <w:br/>
              <w:t>• 建立認知衝突，切入【板書一】</w:t>
            </w:r>
          </w:p>
        </w:tc>
      </w:tr>
      <w:tr>
        <w:tc>
          <w:tcPr>
            <w:tcW w:type="dxa" w:w="2412"/>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第二幕 (Pasture 2)</w:t>
              <w:br/>
              <w:t>五萬月薪支票解剖與 127% 套利</w:t>
            </w:r>
          </w:p>
        </w:tc>
        <w:tc>
          <w:tcPr>
            <w:tcW w:type="dxa" w:w="2412"/>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20 分鐘 /</w:t>
              <w:br/>
              <w:t>35 分鐘</w:t>
            </w:r>
          </w:p>
        </w:tc>
        <w:tc>
          <w:tcPr>
            <w:tcW w:type="dxa" w:w="2412"/>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深入研討【問題二】與【問題四】：拆解 NT$50,000 月薪支票，揭開雇主 5% 配比與 12% 綜所稅盾的三方出資真相。</w:t>
            </w:r>
          </w:p>
        </w:tc>
        <w:tc>
          <w:tcPr>
            <w:tcW w:type="dxa" w:w="2412"/>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 點名學員推導 0%～15% 新台幣薪資單</w:t>
              <w:br/>
              <w:t>• 證明「入帳 NT$5,000，口袋只少 NT$2,200」</w:t>
              <w:br/>
              <w:t>• 完成【板書一：薪資單與綜所稅盾解剖】</w:t>
            </w:r>
          </w:p>
        </w:tc>
      </w:tr>
      <w:tr>
        <w:tc>
          <w:tcPr>
            <w:tcW w:type="dxa" w:w="2412"/>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第三幕 (Pasture 3)</w:t>
              <w:br/>
              <w:t>43 年台幣複利與早晚鳥對決</w:t>
            </w:r>
          </w:p>
        </w:tc>
        <w:tc>
          <w:tcPr>
            <w:tcW w:type="dxa" w:w="2412"/>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25 分鐘 /</w:t>
              <w:br/>
              <w:t>45 分鐘</w:t>
            </w:r>
          </w:p>
        </w:tc>
        <w:tc>
          <w:tcPr>
            <w:tcW w:type="dxa" w:w="2412"/>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深入研討【問題五】：對比按年（3,554 萬）與按月（4,284 萬）終值，粉碎陳建宏「等 32 歲年薪百萬再存」的迷思。</w:t>
            </w:r>
          </w:p>
        </w:tc>
        <w:tc>
          <w:tcPr>
            <w:tcW w:type="dxa" w:w="2412"/>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 對決：22 歲存 10 年停扣 vs. 32 歲連存 33 年</w:t>
              <w:br/>
              <w:t>• 揭曉 NT$2,221 萬 vs. NT$1,334 萬之震撼差距</w:t>
              <w:br/>
              <w:t>• 完成【板書二：台幣複利終值與拖延代價】</w:t>
            </w:r>
          </w:p>
        </w:tc>
      </w:tr>
      <w:tr>
        <w:tc>
          <w:tcPr>
            <w:tcW w:type="dxa" w:w="2412"/>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第四幕 (Pasture 4)</w:t>
              <w:br/>
              <w:t>八折未上市股陷阱與 0050 優勢</w:t>
            </w:r>
          </w:p>
        </w:tc>
        <w:tc>
          <w:tcPr>
            <w:tcW w:type="dxa" w:w="2412"/>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15 分鐘 /</w:t>
              <w:br/>
              <w:t>40 分鐘</w:t>
            </w:r>
          </w:p>
        </w:tc>
        <w:tc>
          <w:tcPr>
            <w:tcW w:type="dxa" w:w="2412"/>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深入研討【問題一】與【問題三】：剖析未上市八折認股之 DLOM 流動性折價與雙重曝險，確立 0050 核心地位。</w:t>
            </w:r>
          </w:p>
        </w:tc>
        <w:tc>
          <w:tcPr>
            <w:tcW w:type="dxa" w:w="2412"/>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 追問：為何 8 折買自家未上市股不是穩賺？</w:t>
              <w:br/>
              <w:t>• 對比單一航太廠 vs. 0050 護國神山群分散效益</w:t>
              <w:br/>
              <w:t>• 完成【板書三：風險矩陣與雙重曝險】</w:t>
            </w:r>
          </w:p>
        </w:tc>
      </w:tr>
      <w:tr>
        <w:tc>
          <w:tcPr>
            <w:tcW w:type="dxa" w:w="2412"/>
            <w:shd w:fill="FFFFFF"/>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第五幕 (Pasture 5)</w:t>
              <w:br/>
              <w:t>SMarT 機制、Glide Path 與勞退自提</w:t>
            </w:r>
          </w:p>
        </w:tc>
        <w:tc>
          <w:tcPr>
            <w:tcW w:type="dxa" w:w="2412"/>
            <w:shd w:fill="FFFFFF"/>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15 分鐘 /</w:t>
              <w:br/>
              <w:t>35 分鐘</w:t>
            </w:r>
          </w:p>
        </w:tc>
        <w:tc>
          <w:tcPr>
            <w:tcW w:type="dxa" w:w="2412"/>
            <w:shd w:fill="FFFFFF"/>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深入研討【問題六】並延伸至學員自身報稅實務：設計 22～65 歲台幣 ETF 滑降組合與勞退自提 6% 行動方案。</w:t>
            </w:r>
          </w:p>
        </w:tc>
        <w:tc>
          <w:tcPr>
            <w:tcW w:type="dxa" w:w="2412"/>
            <w:shd w:fill="FFFFFF"/>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 建構 E(R_p)=10.38% 台幣組合與 Glide Path</w:t>
              <w:br/>
              <w:t>• 現場試算 EMBA 學員個人勞退自提 6% 省稅額</w:t>
              <w:br/>
              <w:t>• 完成【板書四】並揭示個案 Epilogue</w:t>
            </w:r>
          </w:p>
        </w:tc>
      </w:tr>
    </w:tbl>
    <w:p>
      <w:pPr>
        <w:spacing w:before="0" w:after="80"/>
      </w:pPr>
    </w:p>
    <w:p>
      <w:pPr>
        <w:keepNext/>
        <w:spacing w:before="220" w:after="80"/>
      </w:pPr>
      <w:r>
        <w:rPr>
          <w:rFonts w:ascii="Times New Roman" w:hAnsi="Times New Roman" w:eastAsia="微軟正黑體"/>
          <w:b/>
          <w:i w:val="0"/>
          <w:color w:val="1B365D"/>
          <w:sz w:val="22"/>
        </w:rPr>
        <w:t>4.1 分幕蘇格拉底式提問腳本與轉場話術（Detailed Questioning Script）</w:t>
      </w:r>
    </w:p>
    <w:p>
      <w:pPr>
        <w:spacing w:before="0" w:after="160" w:line="331" w:lineRule="auto"/>
      </w:pPr>
      <w:r>
        <w:rPr>
          <w:rFonts w:ascii="Times New Roman" w:hAnsi="Times New Roman" w:eastAsia="微軟正黑體"/>
          <w:b/>
          <w:i w:val="0"/>
          <w:color w:val="1B365D"/>
          <w:sz w:val="21"/>
        </w:rPr>
        <w:t>🎬 第一幕（Pasture 1）：破冰點名與茶水間三方交鋒（0–15m / 0–25m）</w:t>
        <w:br/>
      </w:r>
      <w:r>
        <w:rPr>
          <w:rFonts w:ascii="Times New Roman" w:hAnsi="Times New Roman" w:eastAsia="微軟正黑體"/>
          <w:b w:val="0"/>
          <w:i w:val="0"/>
          <w:color w:val="1E1E1E"/>
          <w:sz w:val="21"/>
        </w:rPr>
        <w:t>• 【開場破冰投票（Classroom Poll）】：教師在白板寫下茶水間三位同事的主張——陳建宏（五萬月薪太緊，自提 0%，等 32 歲破百萬再存）、王大衛（100% 全買打八折的翔鷹航太未上市股票賭 IPO 翻倍）、林組長（養老錢不能虧，100% 買台幣貨幣市場與債券基金）。詢問全班：「如果你是 22 歲剛進翔鷹航太、月薪五萬的林宥辰，你會勾選自提幾 %？會不會把翔鷹航太內部股票配超過 20%？」</w:t>
        <w:br/>
        <w:t>• 【教師轉場話術】：「陳建宏說台中租房加學貸很貴、王大衛說無人機國家隊準備 IPO 打八折不買可惜、林組長說 2022 年台股跌五千點很可怕——這三個人講的話，是不是每天都在我們台灣公司的茶水間和 LINE 群組裡上演？現在，我們用財務部張凱文副理要求的硬核數字，一個一個來檢驗！」</w:t>
      </w:r>
    </w:p>
    <w:p>
      <w:pPr>
        <w:spacing w:before="0" w:after="160" w:line="331" w:lineRule="auto"/>
      </w:pPr>
      <w:r>
        <w:rPr>
          <w:rFonts w:ascii="Times New Roman" w:hAnsi="Times New Roman" w:eastAsia="微軟正黑體"/>
          <w:b/>
          <w:i w:val="0"/>
          <w:color w:val="1B365D"/>
          <w:sz w:val="21"/>
        </w:rPr>
        <w:t>🎬 第二幕（Pasture 2）：NT$50,000 薪資單解剖與 +127.27% 稅後即時報酬（15–35m / 25–60m）</w:t>
        <w:br/>
      </w:r>
      <w:r>
        <w:rPr>
          <w:rFonts w:ascii="Times New Roman" w:hAnsi="Times New Roman" w:eastAsia="微軟正黑體"/>
          <w:b w:val="0"/>
          <w:i w:val="0"/>
          <w:color w:val="1E1E1E"/>
          <w:sz w:val="21"/>
        </w:rPr>
        <w:t>• 【核心追問 1（針對問題二）】：『在月薪 5%（NT$2,500）額度內，宥辰每自提 1 元，翔鷹航太就免費送他 1 元。請問名目即時報酬率是多少？（100%！）全台灣有沒有任何一檔定存或高股息 ETF，能在買進一秒鐘內零風險賺 100%？沒有！那如果宥辰聽陳建宏的話勾選自提 0%，他等於每年白白把多少錢退還給林董事長？』（每年白白放棄 NT$30,000 元免費加薪！）。</w:t>
        <w:br/>
        <w:t>• 【核心追問 2（針對問題四）】：『陳建宏哭窮說：月薪五萬如果去自提 5%（NT$2,500），每個月口袋就少掉 NT$2,500，連跟女友吃屋馬燒肉的錢都沒了。請問陳建宏的稅務算術對嗎？在 12% 綜所稅率下，宥辰自提 NT$2,500，當月實拿薪資真正少掉多少錢？』</w:t>
        <w:br/>
        <w:t>• 【板書推導亮點】：不參加時應納稅額 = NT$50,000 × 12% = NT$6,000，基準實拿 = NT$44,000；自提 5%（NT$2,500）後，課稅所得降為 NT$47,500，應納稅額降為 NT$5,700（財政部國稅局當月少收了 NT$300 所得稅！），實拿薪資為 NT$41,800——口袋只少了 NT$2,200 元！板書列出黃金等式：【自己實掏 NT$2,200 (44%) ＋ 國稅局減稅補貼 NT$300 (6%) ＋ 公司免費贈送 NT$2,500 (50%) ＝ 退休帳戶立即入帳 NT$5,000！】以實質犧牲的 NT$2,200 為分母，稅後實質即時報酬率高達 (5,000 - 2,200) ÷ 2,200 = +127.27%（放大 2.27 倍）！</w:t>
      </w:r>
    </w:p>
    <w:p>
      <w:pPr>
        <w:spacing w:before="0" w:after="160" w:line="331" w:lineRule="auto"/>
      </w:pPr>
      <w:r>
        <w:rPr>
          <w:rFonts w:ascii="Times New Roman" w:hAnsi="Times New Roman" w:eastAsia="微軟正黑體"/>
          <w:b/>
          <w:i w:val="0"/>
          <w:color w:val="1B365D"/>
          <w:sz w:val="21"/>
        </w:rPr>
        <w:t>🎬 第三幕（Pasture 3）：43 年千萬財富複利與「早鳥 vs. 晚鳥」殘酷對決（35–60m / 60–105m）</w:t>
        <w:br/>
      </w:r>
      <w:r>
        <w:rPr>
          <w:rFonts w:ascii="Times New Roman" w:hAnsi="Times New Roman" w:eastAsia="微軟正黑體"/>
          <w:b w:val="0"/>
          <w:i w:val="0"/>
          <w:color w:val="1E1E1E"/>
          <w:sz w:val="21"/>
        </w:rPr>
        <w:t>• 【核心追問 1（針對問題五）】：『宥辰每個月只少花 NT$2,200 元（每天少喝一杯 70 元手搖飲），讓退休專戶每月存入 NT$5,000（每年 NT$60,000）。若投入年化報酬率 10% 的台股 ETF 組合滾存 43 年到 65 歲退休，按年複利與按月複利分別會累積多少新台幣？』</w:t>
        <w:br/>
        <w:t>• 【數據震撼】：按年複利（n=43）終值高達 NT$35,544,041 元（3,554 萬新台幣！），若採每月發薪扣款之按月複利（N=516），終值更高達 NT$42,838,955 元（4,284 萬新台幣！）——而這 43 年間，宥辰自己從稅後口袋真正掏出的總成本只有 NT$2,200 × 516 個月 = NT$1,135,200 元（113.5 萬元）！用 113.5 萬換取 3,554 萬～4,284 萬退休金！</w:t>
        <w:br/>
        <w:t>• 【核心追問 2（早鳥 vs. 晚鳥對決）】：『那如果聽陳建宏的話，等 32 歲再開始存呢？我們來算：宥辰當「早鳥」，22 歲到 32 歲每年存 6 萬（個人實付僅 2.64 萬/年），只存 10 年就完全停扣，讓帳戶自己滾 33 年到 65 歲；陳建宏當「晚鳥」，22 到 32 歲不存，從 32 歲才開始每年存 6 萬，一路苦存 33 年到 65 歲。在 10% 報酬率下，誰退休時比較有錢？』</w:t>
        <w:br/>
        <w:t>• 【高潮揭曉】：早鳥宥辰只存 10 年（總名目本金僅 60 萬，個人稅後實付僅 26.4 萬），32 歲時帳戶累積 NT$956,245 元，繼續滾存 33 年後，65 歲終值高達 NT$22,208,949 元（2,221 萬元）！反觀晚鳥陳建宏苦存 33 年（總名目本金高達 198 萬，是早鳥的 3.3 倍），65 歲終值卻只有 NT$13,335,093 元（1,334 萬元），足足輸給早鳥 NT$887.4 萬元！</w:t>
      </w:r>
    </w:p>
    <w:p>
      <w:pPr>
        <w:spacing w:before="0" w:after="160" w:line="331" w:lineRule="auto"/>
      </w:pPr>
      <w:r>
        <w:rPr>
          <w:rFonts w:ascii="Times New Roman" w:hAnsi="Times New Roman" w:eastAsia="微軟正黑體"/>
          <w:b/>
          <w:i w:val="0"/>
          <w:color w:val="1B365D"/>
          <w:sz w:val="21"/>
        </w:rPr>
        <w:t>🎬 第四幕（Pasture 4）：戳破八折未上市認股幻覺與 0050 大型股優勢（60–75m / 105–145m）</w:t>
        <w:br/>
      </w:r>
      <w:r>
        <w:rPr>
          <w:rFonts w:ascii="Times New Roman" w:hAnsi="Times New Roman" w:eastAsia="微軟正黑體"/>
          <w:b w:val="0"/>
          <w:i w:val="0"/>
          <w:color w:val="1E1E1E"/>
          <w:sz w:val="21"/>
        </w:rPr>
        <w:t>• 【核心追問（針對問題一與問題三）】：『再看王大衛工程師的建議：把退休金 100% 拿去買打八折的翔鷹航太未上市內部股票！台灣很多科技廠或準興櫃公司員工最愛認購自家未上市股，請問這有什麼致命陷阱？』</w:t>
        <w:br/>
        <w:t>• 【理論收斂】：(1) 缺乏市場流通性折價（DLOM）：未上市未興櫃股票沒有公開市場買盤，評價實務上本來就要打 7 折～8 折，公司的 8 折只是剛好補償你無法變現的風險；(2) 估值主觀性：每年僅年底會計師鑑價一次；(3) 零分散度；(4) 最致命的「人力資本雙重曝險（The Enron Effect）」——台灣歷史上如博達、茂德、力晶或無數未能成功上市的科技廠，一旦訂單流失或 IPO 失敗，員工將面臨「中年失業＋退休金股票變壁紙」的雙重毀滅打擊！反觀「元大台灣 50（0050）」囊括台積電、鴻海、聯發科等前 50 大市值龍頭，具備自動汰弱留強機制與極低費用率（0.10%），且 22 歲年輕人透過每月定期定額扣款，遇到 2022 年台股回檔反而能低檔累積更多單位數，創造微笑曲線！</w:t>
      </w:r>
    </w:p>
    <w:p>
      <w:pPr>
        <w:spacing w:before="0" w:after="160" w:line="331" w:lineRule="auto"/>
      </w:pPr>
      <w:r>
        <w:rPr>
          <w:rFonts w:ascii="Times New Roman" w:hAnsi="Times New Roman" w:eastAsia="微軟正黑體"/>
          <w:b/>
          <w:i w:val="0"/>
          <w:color w:val="1B365D"/>
          <w:sz w:val="21"/>
        </w:rPr>
        <w:t>🎬 第五幕（Pasture 5）：SMarT 動態提撥與台幣 ETF 生命週期滑降路徑（75–90m / 145–180m）</w:t>
        <w:br/>
      </w:r>
      <w:r>
        <w:rPr>
          <w:rFonts w:ascii="Times New Roman" w:hAnsi="Times New Roman" w:eastAsia="微軟正黑體"/>
          <w:b w:val="0"/>
          <w:i w:val="0"/>
          <w:color w:val="1E1E1E"/>
          <w:sz w:val="21"/>
        </w:rPr>
        <w:t>• 【建構最佳解（針對問題六）】：(1) 提撥策略：第 1 年自提 5%（月付實質成本 NT$2,200）吃滿公司 5% 對等獎勵金，並簽署 SMarT 條款每年隨調薪自動加提 2% 直至 15%；(2) 22 歲初始配置：65% 元大台灣 50（0050）+ 25% 富邦台灣中小動能成長（00733）+ 5% 元大投資級債券基金（00679B/00720B）+ 5% 翔鷹航太內部股票（組合預期年化報酬率 E(R_p) = 10.38%）；(3) 規劃 22 歲 ➔ 65 歲四階段 Glide Path 滑降曲線與年底免稅再平衡紀律。</w:t>
      </w:r>
    </w:p>
    <w:p>
      <w:pPr>
        <w:keepNext/>
        <w:spacing w:before="320" w:after="120"/>
        <w:pBdr>
          <w:bottom w:val="single" w:sz="8" w:space="3" w:color="A51C30"/>
        </w:pBdr>
      </w:pPr>
      <w:r>
        <w:rPr>
          <w:rFonts w:ascii="Times New Roman" w:hAnsi="Times New Roman" w:eastAsia="微軟正黑體"/>
          <w:b/>
          <w:i w:val="0"/>
          <w:color w:val="A51C30"/>
          <w:sz w:val="26"/>
        </w:rPr>
        <w:t>伍、哈佛標準四區黑板板書設計藍圖（4-Zone Classroom Board Plan）</w:t>
      </w:r>
    </w:p>
    <w:p>
      <w:pPr>
        <w:keepNext/>
        <w:spacing w:before="240" w:after="80"/>
      </w:pPr>
      <w:r>
        <w:rPr>
          <w:rFonts w:ascii="Times New Roman" w:hAnsi="Times New Roman" w:eastAsia="微軟正黑體"/>
          <w:b/>
          <w:i w:val="0"/>
          <w:color w:val="A51C30"/>
          <w:sz w:val="21"/>
        </w:rPr>
        <w:t xml:space="preserve">板書藍圖（Board Plan）　</w:t>
      </w:r>
      <w:r>
        <w:rPr>
          <w:rFonts w:ascii="Times New Roman" w:hAnsi="Times New Roman" w:eastAsia="微軟正黑體"/>
          <w:b/>
          <w:i w:val="0"/>
          <w:color w:val="1E1E1E"/>
          <w:sz w:val="21"/>
        </w:rPr>
        <w:t>課堂四象限板書結構與關鍵新台幣數字落點</w:t>
      </w:r>
    </w:p>
    <w:tbl>
      <w:tblPr>
        <w:tblW w:type="auto" w:w="0"/>
        <w:jc w:val="center"/>
        <w:tblLook w:firstColumn="1" w:firstRow="1" w:lastColumn="0" w:lastRow="0" w:noHBand="0" w:noVBand="1" w:val="04A0"/>
      </w:tblPr>
      <w:tblGrid>
        <w:gridCol w:w="3216"/>
        <w:gridCol w:w="3216"/>
        <w:gridCol w:w="3216"/>
      </w:tblGrid>
      <w:tr>
        <w:tc>
          <w:tcPr>
            <w:tcW w:type="dxa" w:w="3216"/>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板書象限</w:t>
            </w:r>
          </w:p>
        </w:tc>
        <w:tc>
          <w:tcPr>
            <w:tcW w:type="dxa" w:w="3216"/>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象限主題標題</w:t>
            </w:r>
          </w:p>
        </w:tc>
        <w:tc>
          <w:tcPr>
            <w:tcW w:type="dxa" w:w="3216"/>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核心板書結構與關鍵新台幣數字摘要</w:t>
            </w:r>
          </w:p>
        </w:tc>
      </w:tr>
      <w:tr>
        <w:tc>
          <w:tcPr>
            <w:tcW w:type="dxa" w:w="321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i w:val="0"/>
                <w:color w:val="1B365D"/>
                <w:sz w:val="18"/>
              </w:rPr>
              <w:t>第一象限（左上）</w:t>
              <w:br/>
              <w:t>Board 1</w:t>
            </w:r>
          </w:p>
        </w:tc>
        <w:tc>
          <w:tcPr>
            <w:tcW w:type="dxa" w:w="321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五萬月薪支票解剖與稅盾套利</w:t>
              <w:br/>
              <w:t>(The Paycheck Anatomy)</w:t>
            </w:r>
          </w:p>
        </w:tc>
        <w:tc>
          <w:tcPr>
            <w:tcW w:type="dxa" w:w="321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 月薪 NT$50,000 | 綜所稅率 T = 12% | 基準實拿 = NT$44,000</w:t>
              <w:br/>
              <w:t>• 方案 B (自提 5% = NT$2,500/月)：</w:t>
              <w:br/>
              <w:t xml:space="preserve">  - 自己實拿減少：NT$2,200 (佔 44.0%)</w:t>
              <w:br/>
              <w:t xml:space="preserve">  - 國稅局減稅盾：+NT$300 (佔 6.0%)</w:t>
              <w:br/>
              <w:t xml:space="preserve">  - 雇主對等配比：+NT$2,500 (佔 50.0%)</w:t>
              <w:br/>
              <w:t xml:space="preserve">  ➔ 帳戶每月入帳：NT$5,000 (NT$60,000/年)</w:t>
              <w:br/>
              <w:t>• 即時報酬：名目 +100% | 稅後實質 +127.27% (放大 2.27 倍)！</w:t>
              <w:br/>
              <w:t xml:space="preserve">  *(若稅率升至 20% ➔ 實質 +150%；稅率 30% ➔ 實質 +185.7%)*</w:t>
            </w:r>
          </w:p>
        </w:tc>
      </w:tr>
      <w:tr>
        <w:tc>
          <w:tcPr>
            <w:tcW w:type="dxa" w:w="321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i w:val="0"/>
                <w:color w:val="1B365D"/>
                <w:sz w:val="18"/>
              </w:rPr>
              <w:t>第二象限（右上）</w:t>
              <w:br/>
              <w:t>Board 2</w:t>
            </w:r>
          </w:p>
        </w:tc>
        <w:tc>
          <w:tcPr>
            <w:tcW w:type="dxa" w:w="321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43 年千萬複利與早晚鳥對決</w:t>
              <w:br/>
              <w:t>(Compounding &amp; Delay Cost)</w:t>
            </w:r>
          </w:p>
        </w:tc>
        <w:tc>
          <w:tcPr>
            <w:tcW w:type="dxa" w:w="321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 方案 B (5%+5%, r=10%)：按年 3,554 萬 / 按月 4,284 萬</w:t>
              <w:br/>
              <w:t>• 方案 C (10%+5%, r=10%)：按年 5,332 萬 / 按月 6,426 萬</w:t>
              <w:br/>
              <w:t>• 方案 D (15%+5%, r=10%)：按年 7,109 萬 / 按月 8,568 萬</w:t>
              <w:br/>
              <w:t>• 【殘酷對決 (r=10% 按年)】：</w:t>
              <w:br/>
              <w:t xml:space="preserve">  - 早鳥宥辰 (22~32歲存10年, 本金 60萬) ➔ 65歲 NT$2,221 萬</w:t>
              <w:br/>
              <w:t xml:space="preserve">  - 晚鳥建宏 (32~65歲存33年, 本金 198萬) ➔ 65歲 NT$1,334 萬</w:t>
              <w:br/>
              <w:t xml:space="preserve">  ➔ 晚 10 年起步直接痛失 NT$2,221 萬時間複利！</w:t>
            </w:r>
          </w:p>
        </w:tc>
      </w:tr>
      <w:tr>
        <w:tc>
          <w:tcPr>
            <w:tcW w:type="dxa" w:w="321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i w:val="0"/>
                <w:color w:val="1B365D"/>
                <w:sz w:val="18"/>
              </w:rPr>
              <w:t>第三象限（左下）</w:t>
              <w:br/>
              <w:t>Board 3</w:t>
            </w:r>
          </w:p>
        </w:tc>
        <w:tc>
          <w:tcPr>
            <w:tcW w:type="dxa" w:w="321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台股 ETF vs. 未上市內部股</w:t>
              <w:br/>
              <w:t>(Double Jeopardy &amp; DLOM)</w:t>
            </w:r>
          </w:p>
        </w:tc>
        <w:tc>
          <w:tcPr>
            <w:tcW w:type="dxa" w:w="321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 台股 0050 指數基金：跨 50 大龍頭分散 + 每日公開市價申贖</w:t>
              <w:br/>
              <w:t>• 翔鷹航太未上市股三大陷阱：</w:t>
              <w:br/>
              <w:t xml:space="preserve">  1. 零分散度 (單一無人機／輕型航太風險)</w:t>
              <w:br/>
              <w:t xml:space="preserve">  2. 無次級市場 (DLOM 非流動性折價 20%~35% 抵銷 8 折優惠)</w:t>
              <w:br/>
              <w:t xml:space="preserve">  3. 人力資本正相關 (ρ ≈ +1)：失業 + 股票變壁紙雙殺</w:t>
              <w:br/>
              <w:t>➔ 決策鐵律：未上市雇主股票嚴格限制 ≤ 5%！</w:t>
            </w:r>
          </w:p>
        </w:tc>
      </w:tr>
      <w:tr>
        <w:tc>
          <w:tcPr>
            <w:tcW w:type="dxa" w:w="3216"/>
            <w:shd w:fill="F7FAFC"/>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center"/>
            </w:pPr>
            <w:r>
              <w:rPr>
                <w:rFonts w:ascii="Times New Roman" w:hAnsi="Times New Roman" w:eastAsia="微軟正黑體"/>
                <w:b/>
                <w:i w:val="0"/>
                <w:color w:val="1B365D"/>
                <w:sz w:val="18"/>
              </w:rPr>
              <w:t>第四象限（右下）</w:t>
              <w:br/>
              <w:t>Board 4</w:t>
            </w:r>
          </w:p>
        </w:tc>
        <w:tc>
          <w:tcPr>
            <w:tcW w:type="dxa" w:w="3216"/>
            <w:shd w:fill="F7FAFC"/>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SMarT 策略與台幣 ETF 滑降</w:t>
              <w:br/>
              <w:t>(Optimal Portfolio &amp; Glide Path)</w:t>
            </w:r>
          </w:p>
        </w:tc>
        <w:tc>
          <w:tcPr>
            <w:tcW w:type="dxa" w:w="3216"/>
            <w:shd w:fill="F7FAFC"/>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 提撥策略：第 1 年自提 5% 保底 + SMarT 每年調薪自動 +2%</w:t>
              <w:br/>
              <w:t>• 22 歲初始組合 (E(R_p) = 10.38%)：</w:t>
              <w:br/>
              <w:t xml:space="preserve">  - 65% 元大台灣 50 (0050 核心基石, 費率 0.10%)</w:t>
              <w:br/>
              <w:t xml:space="preserve">  - 25% 富邦台灣中小動能 (00733 成長引擎)</w:t>
              <w:br/>
              <w:t xml:space="preserve">  - 5% 元大投資級債券基金 (00679B 再平衡穩定錨)</w:t>
              <w:br/>
              <w:t xml:space="preserve">  - 5% 翔鷹航太內部股 (IPO 掛牌後立即獲利了結轉入 0050)</w:t>
              <w:br/>
              <w:t>• Glide Path：22歲(90%股) ➔ 40歲(80%股) ➔ 55歲(55%股) ➔ 65歲(40%股)</w:t>
            </w:r>
          </w:p>
        </w:tc>
      </w:tr>
    </w:tbl>
    <w:p>
      <w:pPr>
        <w:spacing w:before="0" w:after="80"/>
      </w:pPr>
    </w:p>
    <w:p>
      <w:pPr>
        <w:keepNext/>
        <w:spacing w:before="320" w:after="120"/>
        <w:pBdr>
          <w:bottom w:val="single" w:sz="8" w:space="3" w:color="A51C30"/>
        </w:pBdr>
      </w:pPr>
      <w:r>
        <w:rPr>
          <w:rFonts w:ascii="Times New Roman" w:hAnsi="Times New Roman" w:eastAsia="微軟正黑體"/>
          <w:b/>
          <w:i w:val="0"/>
          <w:color w:val="A51C30"/>
          <w:sz w:val="26"/>
        </w:rPr>
        <w:t>陸、個案結尾後記（Case Epilogue——供教師於下課前最後兩分鐘揭曉）</w:t>
      </w:r>
    </w:p>
    <w:p>
      <w:pPr>
        <w:spacing w:before="0" w:after="120" w:line="331" w:lineRule="auto"/>
      </w:pPr>
      <w:r>
        <w:rPr>
          <w:rFonts w:ascii="Times New Roman" w:hAnsi="Times New Roman" w:eastAsia="微軟正黑體"/>
          <w:b w:val="0"/>
          <w:i w:val="0"/>
          <w:color w:val="1E1E1E"/>
          <w:sz w:val="21"/>
        </w:rPr>
        <w:t>週五下午四點半，林宥辰將長達六頁的新台幣量化分析備忘錄與勾選表交給了張凱文副理。宥辰決定首年自提 5%（每月實質僅少領 NT$2,200，換取每月 NT$5,000 入帳），簽署每年調薪自動加提 2% 的 SMarT 條款，並將初始資金配置為 65% 元大台灣 50（0050）、25% 富邦台灣中小動能（00733）、5% 投資級債券基金與 5% 翔鷹航太內部股票。四年後，翔鷹航太順利於台灣證券交易所創新板掛牌上市，宥辰手中 5% 的內部股票部位翻了 2.6 倍，他隨即在閉鎖期滿當月全數獲利了結並轉入 0050 指數基金；反觀當年堅持「五萬月薪不夠花、自提 0%」的同梯業務陳建宏，四年下來不僅白白放棄了公司發放的 NT$120,000 元免費對等獎勵金，更錯失了期間台灣 50 指數含息大漲逾 65% 的龐大複利列車。</w:t>
      </w:r>
    </w:p>
    <w:p>
      <w:r>
        <w:br w:type="page"/>
      </w:r>
    </w:p>
    <w:tbl>
      <w:tblPr>
        <w:tblW w:type="auto" w:w="0"/>
        <w:jc w:val="center"/>
        <w:tblLook w:firstColumn="1" w:firstRow="1" w:lastColumn="0" w:lastRow="0" w:noHBand="0" w:noVBand="1" w:val="04A0"/>
      </w:tblPr>
      <w:tblGrid>
        <w:gridCol w:w="4824"/>
        <w:gridCol w:w="4824"/>
      </w:tblGrid>
      <w:tr>
        <w:tc>
          <w:tcPr>
            <w:tcW w:type="dxa" w:w="4824"/>
            <w:tcMar>
              <w:top w:w="40" w:type="dxa"/>
              <w:bottom w:w="60" w:type="dxa"/>
              <w:left w:w="0" w:type="dxa"/>
              <w:right w:w="0" w:type="dxa"/>
            </w:tcMar>
            <w:tcBorders>
              <w:top w:val="none" w:sz="0" w:space="0" w:color="auto"/>
              <w:bottom w:val="single" w:sz="18" w:space="0" w:color="A51C30"/>
              <w:left w:val="none" w:sz="0" w:space="0" w:color="auto"/>
              <w:right w:val="none" w:sz="0" w:space="0" w:color="auto"/>
            </w:tcBorders>
          </w:tcPr>
          <w:p>
            <w:pPr>
              <w:spacing w:before="0" w:after="0"/>
            </w:pPr>
            <w:r>
              <w:rPr>
                <w:rFonts w:ascii="Times New Roman" w:hAnsi="Times New Roman" w:eastAsia="微軟正黑體"/>
                <w:b/>
                <w:i w:val="0"/>
                <w:color w:val="A51C30"/>
                <w:sz w:val="18"/>
              </w:rPr>
              <w:t>HARVARD BUSINESS SCHOOL STYLE CASE SERIES (TAIWAN LOCALIZED)</w:t>
              <w:br/>
              <w:t>HARVARD BUSINESS SCHOOL STYLE CASE SOLUTIONS (TAIWAN EDITION) | 個案深度解析與量化模型詳解</w:t>
            </w:r>
          </w:p>
        </w:tc>
        <w:tc>
          <w:tcPr>
            <w:tcW w:type="dxa" w:w="4824"/>
            <w:tcMar>
              <w:top w:w="40" w:type="dxa"/>
              <w:bottom w:w="60" w:type="dxa"/>
              <w:left w:w="0" w:type="dxa"/>
              <w:right w:w="0" w:type="dxa"/>
            </w:tcMar>
            <w:tcBorders>
              <w:top w:val="none" w:sz="0" w:space="0" w:color="auto"/>
              <w:bottom w:val="single" w:sz="18" w:space="0" w:color="A51C30"/>
              <w:left w:val="none" w:sz="0" w:space="0" w:color="auto"/>
              <w:right w:val="none" w:sz="0" w:space="0" w:color="auto"/>
            </w:tcBorders>
          </w:tcPr>
          <w:p>
            <w:pPr>
              <w:spacing w:before="0" w:after="0"/>
              <w:jc w:val="right"/>
            </w:pPr>
            <w:r>
              <w:rPr>
                <w:rFonts w:ascii="Times New Roman" w:hAnsi="Times New Roman" w:eastAsia="微軟正黑體"/>
                <w:b/>
                <w:i w:val="0"/>
                <w:color w:val="595959"/>
                <w:sz w:val="18"/>
              </w:rPr>
              <w:t>文件編號：HBS-FIN-11501-TWSM1</w:t>
              <w:br/>
              <w:t>修訂日期：2026年10月 台灣本土制度完整解析版</w:t>
            </w:r>
          </w:p>
        </w:tc>
      </w:tr>
    </w:tbl>
    <w:p>
      <w:pPr>
        <w:spacing w:before="280" w:after="80"/>
      </w:pPr>
      <w:r>
        <w:rPr>
          <w:rFonts w:ascii="Times New Roman" w:hAnsi="Times New Roman" w:eastAsia="微軟正黑體"/>
          <w:b/>
          <w:i w:val="0"/>
          <w:color w:val="1E1E1E"/>
          <w:sz w:val="36"/>
        </w:rPr>
        <w:t>《翔鷹航太科技：勞退自提、員工福利信託與台幣 ETF 資產配置抉擇》個案解析</w:t>
      </w:r>
    </w:p>
    <w:p>
      <w:pPr>
        <w:spacing w:before="0" w:after="160"/>
      </w:pPr>
      <w:r>
        <w:rPr>
          <w:rFonts w:ascii="Times New Roman" w:hAnsi="Times New Roman" w:eastAsia="微軟正黑體"/>
          <w:b w:val="0"/>
          <w:i/>
          <w:color w:val="595959"/>
          <w:sz w:val="21"/>
        </w:rPr>
        <w:t>Analytical Solutions &amp; Technical Note Exhibits — AeroTaiwan Corp. Retirement &amp; ETF Allocation Decision</w:t>
      </w:r>
    </w:p>
    <w:p>
      <w:pPr>
        <w:spacing w:before="0" w:after="240"/>
        <w:pBdr>
          <w:bottom w:val="single" w:sz="6" w:space="6" w:color="CCCCCC"/>
        </w:pBdr>
      </w:pPr>
      <w:r>
        <w:rPr>
          <w:rFonts w:ascii="Times New Roman" w:hAnsi="Times New Roman" w:eastAsia="微軟正黑體"/>
          <w:b w:val="0"/>
          <w:i/>
          <w:color w:val="595959"/>
          <w:sz w:val="17"/>
        </w:rPr>
        <w:t>本文件為《翔鷹航太科技》台灣本土版個案之標準財務解析與數學推導手冊（Solutions Manual），以哈佛管理決策備忘錄（Executive Memorandum）與附錄模型（TN Exhibits A–F，全數採新台幣計價）完整呈現問題一至問題六之精算解答。</w:t>
      </w:r>
    </w:p>
    <w:tbl>
      <w:tblPr>
        <w:tblW w:type="auto" w:w="0"/>
        <w:jc w:val="center"/>
        <w:tblLook w:firstColumn="1" w:firstRow="1" w:lastColumn="0" w:lastRow="0" w:noHBand="0" w:noVBand="1" w:val="04A0"/>
      </w:tblPr>
      <w:tblGrid>
        <w:gridCol w:w="9648"/>
      </w:tblGrid>
      <w:tr>
        <w:tc>
          <w:tcPr>
            <w:tcW w:type="dxa" w:w="9648"/>
            <w:shd w:fill="F9F6F6"/>
            <w:tcMar>
              <w:top w:w="130" w:type="dxa"/>
              <w:bottom w:w="130" w:type="dxa"/>
              <w:left w:w="180" w:type="dxa"/>
              <w:right w:w="160" w:type="dxa"/>
            </w:tcMar>
            <w:tcBorders>
              <w:top w:val="single" w:sz="6" w:space="0" w:color="A51C30"/>
              <w:bottom w:val="single" w:sz="6" w:space="0" w:color="A51C30"/>
              <w:left w:val="single" w:sz="24" w:space="0" w:color="A51C30"/>
              <w:right w:val="none" w:sz="0" w:space="0" w:color="auto"/>
            </w:tcBorders>
          </w:tcPr>
          <w:p>
            <w:pPr>
              <w:spacing w:before="0" w:after="80"/>
            </w:pPr>
            <w:r>
              <w:rPr>
                <w:rFonts w:ascii="Times New Roman" w:hAnsi="Times New Roman" w:eastAsia="微軟正黑體"/>
                <w:b/>
                <w:i w:val="0"/>
                <w:color w:val="A51C30"/>
                <w:sz w:val="21"/>
              </w:rPr>
              <w:t>📄 財務決策備忘錄（EXECUTIVE DECISION MEMORANDUM）</w:t>
            </w:r>
          </w:p>
          <w:p>
            <w:pPr>
              <w:spacing w:before="40" w:after="60" w:line="312" w:lineRule="auto"/>
            </w:pPr>
            <w:r>
              <w:rPr>
                <w:rFonts w:ascii="Times New Roman" w:hAnsi="Times New Roman" w:eastAsia="微軟正黑體"/>
                <w:b/>
                <w:i w:val="0"/>
                <w:color w:val="1B365D"/>
                <w:sz w:val="19"/>
              </w:rPr>
              <w:t>受文者（TO）：</w:t>
            </w:r>
            <w:r>
              <w:rPr>
                <w:rFonts w:ascii="Times New Roman" w:hAnsi="Times New Roman" w:eastAsia="微軟正黑體"/>
                <w:b w:val="0"/>
                <w:i w:val="0"/>
                <w:color w:val="1E1E1E"/>
                <w:sz w:val="19"/>
              </w:rPr>
              <w:t>張凱文（Kevin Chang），翔鷹航太科技財務部資深財務副理</w:t>
            </w:r>
          </w:p>
          <w:p>
            <w:pPr>
              <w:spacing w:before="40" w:after="60" w:line="312" w:lineRule="auto"/>
            </w:pPr>
            <w:r>
              <w:rPr>
                <w:rFonts w:ascii="Times New Roman" w:hAnsi="Times New Roman" w:eastAsia="微軟正黑體"/>
                <w:b/>
                <w:i w:val="0"/>
                <w:color w:val="1B365D"/>
                <w:sz w:val="19"/>
              </w:rPr>
              <w:t>發文者（FROM）：</w:t>
            </w:r>
            <w:r>
              <w:rPr>
                <w:rFonts w:ascii="Times New Roman" w:hAnsi="Times New Roman" w:eastAsia="微軟正黑體"/>
                <w:b w:val="0"/>
                <w:i w:val="0"/>
                <w:color w:val="1E1E1E"/>
                <w:sz w:val="19"/>
              </w:rPr>
              <w:t>林宥辰（Yu-Chen Lin），翔鷹航太科技財務部初階財務分析師</w:t>
            </w:r>
          </w:p>
          <w:p>
            <w:pPr>
              <w:spacing w:before="40" w:after="60" w:line="312" w:lineRule="auto"/>
            </w:pPr>
            <w:r>
              <w:rPr>
                <w:rFonts w:ascii="Times New Roman" w:hAnsi="Times New Roman" w:eastAsia="微軟正黑體"/>
                <w:b/>
                <w:i w:val="0"/>
                <w:color w:val="1B365D"/>
                <w:sz w:val="19"/>
              </w:rPr>
              <w:t>日　期（DATE）：</w:t>
            </w:r>
            <w:r>
              <w:rPr>
                <w:rFonts w:ascii="Times New Roman" w:hAnsi="Times New Roman" w:eastAsia="微軟正黑體"/>
                <w:b w:val="0"/>
                <w:i w:val="0"/>
                <w:color w:val="1E1E1E"/>
                <w:sz w:val="19"/>
              </w:rPr>
              <w:t>2026 年 10 月 18 日</w:t>
            </w:r>
          </w:p>
          <w:p>
            <w:pPr>
              <w:spacing w:before="40" w:after="60" w:line="312" w:lineRule="auto"/>
            </w:pPr>
            <w:r>
              <w:rPr>
                <w:rFonts w:ascii="Times New Roman" w:hAnsi="Times New Roman" w:eastAsia="微軟正黑體"/>
                <w:b/>
                <w:i w:val="0"/>
                <w:color w:val="1B365D"/>
                <w:sz w:val="19"/>
              </w:rPr>
              <w:t>主　旨（SUBJECT）：</w:t>
            </w:r>
            <w:r>
              <w:rPr>
                <w:rFonts w:ascii="Times New Roman" w:hAnsi="Times New Roman" w:eastAsia="微軟正黑體"/>
                <w:b w:val="0"/>
                <w:i w:val="0"/>
                <w:color w:val="1E1E1E"/>
                <w:sz w:val="19"/>
              </w:rPr>
              <w:t>翔鷹航太員工自主退休儲蓄與福利信託計畫之稅盾套利、43 年複利精算與台幣 ETF 生命週期資產配置方案</w:t>
            </w:r>
          </w:p>
          <w:p>
            <w:pPr>
              <w:spacing w:before="40" w:after="60" w:line="312" w:lineRule="auto"/>
            </w:pPr>
            <w:r>
              <w:rPr>
                <w:rFonts w:ascii="Times New Roman" w:hAnsi="Times New Roman" w:eastAsia="微軟正黑體"/>
                <w:b/>
                <w:i w:val="0"/>
                <w:color w:val="1B365D"/>
                <w:sz w:val="19"/>
              </w:rPr>
              <w:t>決策結論摘要：</w:t>
            </w:r>
            <w:r>
              <w:rPr>
                <w:rFonts w:ascii="Times New Roman" w:hAnsi="Times New Roman" w:eastAsia="微軟正黑體"/>
                <w:b w:val="0"/>
                <w:i w:val="0"/>
                <w:color w:val="1E1E1E"/>
                <w:sz w:val="19"/>
              </w:rPr>
              <w:t>(1) 提撥決策：首年立即自提月薪之 5.0%（每月稅前 NT$2,500，在 12% 綜所稅盾下實拿月薪僅減少 NT$2,200），以 100% 領滿公司對等提撥獎勵金（每月合計入帳 NT$5,000，名目即時無風險報酬率 +100.00%，稅後實質即時報酬率高達 +127.27%），並啟動 SMarT 機制每年隨調薪自動加提 2% 直至 15% 上限；(2) 43 年複利終值：僅維持首年 5%+5%（每月存入 NT$5,000 / 每年 NT$60,000），在 10% 年化報酬率下，65 歲退休終值即高達 NT$35,544,041 元（按年複利）至 NT$42,838,955 元（按月複利）；若延遲 10 年至 32 歲才開始存，將直接痛失 NT$2,221 萬元之時間複利；(3) 台幣 ETF 配置：為規避未上市雇主股票之非流動性折價（DLOM）與人力資本雙重曝險，22 歲初始組合配置為「65% 元大台灣 50（0050）+ 25% 富邦台灣中小動能（00733）+ 5% 元大投資級債券基金 + 5% 翔鷹航太內部股票」（組合預期年化報酬率 E(R_p) = 10.38%），並隨年齡執行四階段生命週期動態滑降（Glide Path）。</w:t>
            </w:r>
          </w:p>
        </w:tc>
      </w:tr>
    </w:tbl>
    <w:p>
      <w:pPr>
        <w:spacing w:before="0" w:after="80"/>
      </w:pPr>
    </w:p>
    <w:p>
      <w:pPr>
        <w:keepNext/>
        <w:spacing w:before="320" w:after="120"/>
        <w:pBdr>
          <w:bottom w:val="single" w:sz="8" w:space="3" w:color="A51C30"/>
        </w:pBdr>
      </w:pPr>
      <w:r>
        <w:rPr>
          <w:rFonts w:ascii="Times New Roman" w:hAnsi="Times New Roman" w:eastAsia="微軟正黑體"/>
          <w:b/>
          <w:i w:val="0"/>
          <w:color w:val="A51C30"/>
          <w:sz w:val="26"/>
        </w:rPr>
        <w:t>問題一解析：台股公開市場基金（0050 等）vs. 翔鷹航太未上市內部股票之風險收益剖析</w:t>
      </w:r>
    </w:p>
    <w:p>
      <w:pPr>
        <w:spacing w:before="0" w:after="120" w:line="331" w:lineRule="auto"/>
      </w:pPr>
      <w:r>
        <w:rPr>
          <w:rFonts w:ascii="Times New Roman" w:hAnsi="Times New Roman" w:eastAsia="微軟正黑體"/>
          <w:b w:val="0"/>
          <w:i w:val="0"/>
          <w:color w:val="1E1E1E"/>
          <w:sz w:val="21"/>
        </w:rPr>
        <w:t>針對資深工程師王大衛（Dave）提出「貪圖 20% 認購折價（打八折）與 3～4 年後台灣創新板 IPO 翻倍願景，將退休金 100% 全押翔鷹航太內部股票」之觀點，從現代投資組合理論（MPT）與企業評價實務來看存在四大結構性致命缺陷（詳見【解析附表 TN Exhibit A】）：</w:t>
      </w:r>
    </w:p>
    <w:p>
      <w:pPr>
        <w:spacing w:before="0" w:after="120" w:line="331" w:lineRule="auto"/>
      </w:pPr>
      <w:r>
        <w:rPr>
          <w:rFonts w:ascii="Times New Roman" w:hAnsi="Times New Roman" w:eastAsia="微軟正黑體"/>
          <w:b/>
          <w:i w:val="0"/>
          <w:color w:val="1B365D"/>
          <w:sz w:val="21"/>
        </w:rPr>
        <w:t>1. 非系統性風險與分散化效益（Diversification of Idiosyncratic Risk）：</w:t>
      </w:r>
      <w:r>
        <w:rPr>
          <w:rFonts w:ascii="Times New Roman" w:hAnsi="Times New Roman" w:eastAsia="微軟正黑體"/>
          <w:b w:val="0"/>
          <w:i w:val="0"/>
          <w:color w:val="1E1E1E"/>
          <w:sz w:val="21"/>
        </w:rPr>
        <w:t>「元大台灣卓越 50 指數基金（0050）」橫跨半導體、電子代工、金融、傳產塑膠與航運等台灣市值前 50 大跨國龍頭企業，單一公司經營失敗之非系統性風險（Unsystematic Risk）已被完全分散消除；反觀翔鷹航太僅為單一商用無人機與輕型航太組件製造商，100% 押注該股票將使退休老本完全暴露於單一機型飛安事故、民航法規變更、碳纖維原料斷鏈或單一客戶抽單的極端風險中。</w:t>
      </w:r>
    </w:p>
    <w:p>
      <w:pPr>
        <w:spacing w:before="0" w:after="120" w:line="331" w:lineRule="auto"/>
      </w:pPr>
      <w:r>
        <w:rPr>
          <w:rFonts w:ascii="Times New Roman" w:hAnsi="Times New Roman" w:eastAsia="微軟正黑體"/>
          <w:b/>
          <w:i w:val="0"/>
          <w:color w:val="1B365D"/>
          <w:sz w:val="21"/>
        </w:rPr>
        <w:t>2. 次級市場流動性與「缺乏市場流通性折價（DLOM）」真相：</w:t>
      </w:r>
      <w:r>
        <w:rPr>
          <w:rFonts w:ascii="Times New Roman" w:hAnsi="Times New Roman" w:eastAsia="微軟正黑體"/>
          <w:b w:val="0"/>
          <w:i w:val="0"/>
          <w:color w:val="1E1E1E"/>
          <w:sz w:val="21"/>
        </w:rPr>
        <w:t>王大衛認為「價值 100 元的股票用 80 元認購，買進當天現賺 25%（20/80）」。然而，這項算術成立的前提是「你能立即在台灣證券交易所按 100 元賣出變現」！事實上，翔鷹航太目前既未上市也未登錄興櫃，完全沒有公開次級市場買盤。在四大會計師事務所之企業評價實務中，未上市私人股權因缺乏公開市場流通性，必須扣除高達 20%～35% 的「缺乏市場流通性折價（Discount for Lack of Marketability, DLOM）」。換言之，公司給的 20% 認購折價，僅是剛好補償員工「閉鎖期內無法自由買賣」的流動性損失，絕非白吃的午餐。</w:t>
      </w:r>
    </w:p>
    <w:p>
      <w:pPr>
        <w:spacing w:before="0" w:after="120" w:line="331" w:lineRule="auto"/>
      </w:pPr>
      <w:r>
        <w:rPr>
          <w:rFonts w:ascii="Times New Roman" w:hAnsi="Times New Roman" w:eastAsia="微軟正黑體"/>
          <w:b/>
          <w:i w:val="0"/>
          <w:color w:val="1B365D"/>
          <w:sz w:val="21"/>
        </w:rPr>
        <w:t>3. 估值客觀透明度與金管會監管保障（Valuation Transparency）：</w:t>
      </w:r>
      <w:r>
        <w:rPr>
          <w:rFonts w:ascii="Times New Roman" w:hAnsi="Times New Roman" w:eastAsia="微軟正黑體"/>
          <w:b w:val="0"/>
          <w:i w:val="0"/>
          <w:color w:val="1E1E1E"/>
          <w:sz w:val="21"/>
        </w:rPr>
        <w:t>0050 與債券 ETF 每日皆由臺灣證券交易所數百萬投資人與外資法人公開競價撮合，定價透明且受金管會證期局嚴密監管；反觀翔鷹航太未上市股票每年僅由內部委託鑑價一次，缺乏公開市場多空檢驗，估值極易受管理層對 IPO 樂觀預期之向上偏誤影響。</w:t>
      </w:r>
    </w:p>
    <w:p>
      <w:pPr>
        <w:spacing w:before="0" w:after="120" w:line="331" w:lineRule="auto"/>
      </w:pPr>
      <w:r>
        <w:rPr>
          <w:rFonts w:ascii="Times New Roman" w:hAnsi="Times New Roman" w:eastAsia="微軟正黑體"/>
          <w:b/>
          <w:i w:val="0"/>
          <w:color w:val="1B365D"/>
          <w:sz w:val="21"/>
        </w:rPr>
        <w:t>4. 人力資本與金融資產之高度正相關——「雙重曝險（Double Jeopardy）」：</w:t>
      </w:r>
      <w:r>
        <w:rPr>
          <w:rFonts w:ascii="Times New Roman" w:hAnsi="Times New Roman" w:eastAsia="微軟正黑體"/>
          <w:b w:val="0"/>
          <w:i w:val="0"/>
          <w:color w:val="1E1E1E"/>
          <w:sz w:val="21"/>
        </w:rPr>
        <w:t>對 22 歲的林宥辰而言，其一生最龐大的資產是「未來 43 年工作薪資與獎金的折現值——即人力資本（Human Capital）」，而這筆資產已經 100% 綁在雇主翔鷹航太的營運成敗上。若再將退休金融資產重押於翔鷹航太股票（相關係數 ρ ≈ +1），一旦無人機產業景氣反轉或 IPO 審查未過導致公司倒閉（猶如美國 Enron 破產案或台灣早期博達、茂德下市案），宥辰將同時遭遇「當月失業失去薪水」與「數十年退休金股票變壁紙」的毀滅性雙殺（Double Jeopardy）！</w:t>
      </w:r>
    </w:p>
    <w:p>
      <w:pPr>
        <w:keepNext/>
        <w:spacing w:before="240" w:after="80"/>
      </w:pPr>
      <w:r>
        <w:rPr>
          <w:rFonts w:ascii="Times New Roman" w:hAnsi="Times New Roman" w:eastAsia="微軟正黑體"/>
          <w:b/>
          <w:i w:val="0"/>
          <w:color w:val="A51C30"/>
          <w:sz w:val="21"/>
        </w:rPr>
        <w:t xml:space="preserve">解析附表一（TN Exhibit A）　</w:t>
      </w:r>
      <w:r>
        <w:rPr>
          <w:rFonts w:ascii="Times New Roman" w:hAnsi="Times New Roman" w:eastAsia="微軟正黑體"/>
          <w:b/>
          <w:i w:val="0"/>
          <w:color w:val="1E1E1E"/>
          <w:sz w:val="21"/>
        </w:rPr>
        <w:t>台股公開市場共同基金／ETF vs. 翔鷹航太未上市內部股票之六維度風險收益評估矩陣</w:t>
      </w:r>
    </w:p>
    <w:tbl>
      <w:tblPr>
        <w:tblW w:type="auto" w:w="0"/>
        <w:jc w:val="center"/>
        <w:tblLook w:firstColumn="1" w:firstRow="1" w:lastColumn="0" w:lastRow="0" w:noHBand="0" w:noVBand="1" w:val="04A0"/>
      </w:tblPr>
      <w:tblGrid>
        <w:gridCol w:w="2412"/>
        <w:gridCol w:w="2412"/>
        <w:gridCol w:w="2412"/>
        <w:gridCol w:w="2412"/>
      </w:tblGrid>
      <w:tr>
        <w:tc>
          <w:tcPr>
            <w:tcW w:type="dxa" w:w="2412"/>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財務評估維度</w:t>
            </w:r>
          </w:p>
        </w:tc>
        <w:tc>
          <w:tcPr>
            <w:tcW w:type="dxa" w:w="2412"/>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台股公開市場基金組合 (如 0050 / 00733)</w:t>
            </w:r>
          </w:p>
        </w:tc>
        <w:tc>
          <w:tcPr>
            <w:tcW w:type="dxa" w:w="2412"/>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翔鷹航太未上市內部股票</w:t>
            </w:r>
          </w:p>
        </w:tc>
        <w:tc>
          <w:tcPr>
            <w:tcW w:type="dxa" w:w="2412"/>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哈佛財務決策判定</w:t>
            </w:r>
          </w:p>
        </w:tc>
      </w:tr>
      <w:tr>
        <w:tc>
          <w:tcPr>
            <w:tcW w:type="dxa" w:w="2412"/>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1. 非系統性風險分散度</w:t>
              <w:br/>
              <w:t>(Diversification)</w:t>
            </w:r>
          </w:p>
        </w:tc>
        <w:tc>
          <w:tcPr>
            <w:tcW w:type="dxa" w:w="2412"/>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極佳。0050 持有台積電、聯發科、鴻海等前 50 大龍頭，徹底消除單一企業倒閉風險。</w:t>
            </w:r>
          </w:p>
        </w:tc>
        <w:tc>
          <w:tcPr>
            <w:tcW w:type="dxa" w:w="2412"/>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極差（零分散）。100% 集中於單一中小型航太廠，完全暴露於飛安與單一營運風險。</w:t>
            </w:r>
          </w:p>
        </w:tc>
        <w:tc>
          <w:tcPr>
            <w:tcW w:type="dxa" w:w="2412"/>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公開基金絕對勝出</w:t>
              <w:br/>
              <w:t>（消除個股獨有風險）</w:t>
            </w:r>
          </w:p>
        </w:tc>
      </w:tr>
      <w:tr>
        <w:tc>
          <w:tcPr>
            <w:tcW w:type="dxa" w:w="2412"/>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2. 次級市場流動性</w:t>
              <w:br/>
              <w:t>(Liquidity &amp; DLOM)</w:t>
            </w:r>
          </w:p>
        </w:tc>
        <w:tc>
          <w:tcPr>
            <w:tcW w:type="dxa" w:w="2412"/>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極高。每日皆可依臺灣證交所公開收盤市價／淨值（NAV）申贖或免費跨基金轉換。</w:t>
            </w:r>
          </w:p>
        </w:tc>
        <w:tc>
          <w:tcPr>
            <w:tcW w:type="dxa" w:w="2412"/>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極低。未上市未興櫃無次級市場，IPO 前僅能於離職時賣回，具 20%~35% DLOM 貼水。</w:t>
            </w:r>
          </w:p>
        </w:tc>
        <w:tc>
          <w:tcPr>
            <w:tcW w:type="dxa" w:w="2412"/>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公開基金絕對勝出</w:t>
              <w:br/>
              <w:t>（8折僅補償無流動性）</w:t>
            </w:r>
          </w:p>
        </w:tc>
      </w:tr>
      <w:tr>
        <w:tc>
          <w:tcPr>
            <w:tcW w:type="dxa" w:w="2412"/>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3. 估值客觀透明度</w:t>
              <w:br/>
              <w:t>(Valuation Objectivity)</w:t>
            </w:r>
          </w:p>
        </w:tc>
        <w:tc>
          <w:tcPr>
            <w:tcW w:type="dxa" w:w="2412"/>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完全公開透明。由台股集中市場每日數千億成交量即時撮合，反映效率市場公允價值。</w:t>
            </w:r>
          </w:p>
        </w:tc>
        <w:tc>
          <w:tcPr>
            <w:tcW w:type="dxa" w:w="2412"/>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主觀性高且滯後。每年僅年底委託會計師鑑價一次，易受管理層樂觀預期影響。</w:t>
            </w:r>
          </w:p>
        </w:tc>
        <w:tc>
          <w:tcPr>
            <w:tcW w:type="dxa" w:w="2412"/>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公開基金絕對勝出</w:t>
              <w:br/>
              <w:t>（定價真實無黑箱）</w:t>
            </w:r>
          </w:p>
        </w:tc>
      </w:tr>
      <w:tr>
        <w:tc>
          <w:tcPr>
            <w:tcW w:type="dxa" w:w="2412"/>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4. 人力資本相關性</w:t>
              <w:br/>
              <w:t>(Human Capital Link)</w:t>
            </w:r>
          </w:p>
        </w:tc>
        <w:tc>
          <w:tcPr>
            <w:tcW w:type="dxa" w:w="2412"/>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低。基金成分股遍及台灣各核心外銷與內需產業，與宥辰在翔鷹航太之工作無直接綁定。</w:t>
            </w:r>
          </w:p>
        </w:tc>
        <w:tc>
          <w:tcPr>
            <w:tcW w:type="dxa" w:w="2412"/>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極高（完全正相關 ρ ≈ +1）。若公司倒閉，員工面臨「失業＋退休金歸零」雙殺。</w:t>
            </w:r>
          </w:p>
        </w:tc>
        <w:tc>
          <w:tcPr>
            <w:tcW w:type="dxa" w:w="2412"/>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公開基金絕對勝出</w:t>
              <w:br/>
              <w:t>（規避雙重曝險悲劇）</w:t>
            </w:r>
          </w:p>
        </w:tc>
      </w:tr>
      <w:tr>
        <w:tc>
          <w:tcPr>
            <w:tcW w:type="dxa" w:w="2412"/>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5. 潛在爆發收益</w:t>
              <w:br/>
              <w:t>(Upside Potential)</w:t>
            </w:r>
          </w:p>
        </w:tc>
        <w:tc>
          <w:tcPr>
            <w:tcW w:type="dxa" w:w="2412"/>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穩健可預測之市場長期含息報酬（0050 長期年化約 10.0%、中小成長股約 12.5%）。</w:t>
            </w:r>
          </w:p>
        </w:tc>
        <w:tc>
          <w:tcPr>
            <w:tcW w:type="dxa" w:w="2412"/>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具投機爆發力。享 20% 折價認購，若 3～4 年內順利於創新板高價 IPO 可獲數倍回報。</w:t>
            </w:r>
          </w:p>
        </w:tc>
        <w:tc>
          <w:tcPr>
            <w:tcW w:type="dxa" w:w="2412"/>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公司股票具上檔誘因</w:t>
              <w:br/>
              <w:t>（僅適合 ≤5% 衛星配置）</w:t>
            </w:r>
          </w:p>
        </w:tc>
      </w:tr>
      <w:tr>
        <w:tc>
          <w:tcPr>
            <w:tcW w:type="dxa" w:w="2412"/>
            <w:shd w:fill="F7FAFC"/>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6. 法規監管與資訊揭露</w:t>
              <w:br/>
              <w:t>(Regulatory Oversight)</w:t>
            </w:r>
          </w:p>
        </w:tc>
        <w:tc>
          <w:tcPr>
            <w:tcW w:type="dxa" w:w="2412"/>
            <w:shd w:fill="F7FAFC"/>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受台灣金管會證期局嚴格監管，每日公告淨值、定期揭露成分股權重與經審計財報。</w:t>
            </w:r>
          </w:p>
        </w:tc>
        <w:tc>
          <w:tcPr>
            <w:tcW w:type="dxa" w:w="2412"/>
            <w:shd w:fill="F7FAFC"/>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未公開發行公司無公開財報揭露義務，基層員工難以全面掌握真實負債與現金流。</w:t>
            </w:r>
          </w:p>
        </w:tc>
        <w:tc>
          <w:tcPr>
            <w:tcW w:type="dxa" w:w="2412"/>
            <w:shd w:fill="F7FAFC"/>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公開基金絕對勝出</w:t>
              <w:br/>
              <w:t>（受金管會嚴密保障）</w:t>
            </w:r>
          </w:p>
        </w:tc>
      </w:tr>
    </w:tbl>
    <w:p>
      <w:pPr>
        <w:spacing w:before="60" w:after="160"/>
      </w:pPr>
      <w:r>
        <w:rPr>
          <w:rFonts w:ascii="Times New Roman" w:hAnsi="Times New Roman" w:eastAsia="微軟正黑體"/>
          <w:b w:val="0"/>
          <w:i/>
          <w:color w:val="595959"/>
          <w:sz w:val="17"/>
        </w:rPr>
        <w:t>資料來源：個案作者依現代投資組合理論（MPT）與企業評價缺乏流通性折價（DLOM）模型繪製。</w:t>
      </w:r>
    </w:p>
    <w:p>
      <w:pPr>
        <w:keepNext/>
        <w:spacing w:before="320" w:after="120"/>
        <w:pBdr>
          <w:bottom w:val="single" w:sz="8" w:space="3" w:color="A51C30"/>
        </w:pBdr>
      </w:pPr>
      <w:r>
        <w:rPr>
          <w:rFonts w:ascii="Times New Roman" w:hAnsi="Times New Roman" w:eastAsia="微軟正黑體"/>
          <w:b/>
          <w:i w:val="0"/>
          <w:color w:val="A51C30"/>
          <w:sz w:val="26"/>
        </w:rPr>
        <w:t>問題二解析：雇主 5% 對等提撥之即時投資報酬率與台灣綜所稅盾套利推導</w:t>
      </w:r>
    </w:p>
    <w:p>
      <w:pPr>
        <w:spacing w:before="0" w:after="120" w:line="331" w:lineRule="auto"/>
      </w:pPr>
      <w:r>
        <w:rPr>
          <w:rFonts w:ascii="Times New Roman" w:hAnsi="Times New Roman" w:eastAsia="微軟正黑體"/>
          <w:b w:val="0"/>
          <w:i w:val="0"/>
          <w:color w:val="1E1E1E"/>
          <w:sz w:val="21"/>
        </w:rPr>
        <w:t>在翔鷹航太的退休福利信託制度下，在月薪 5% 的額度內（即每月 NT$2,500 元、每年 NT$30,000 元以內），林宥辰每自提 NT$1.00 元，公司即無條件免費對等補貼 NT$1.00 元。我們從「名目本金視角」與「計入台灣綜所稅盾後之稅後實質現金流視角」進行兩階段推導（詳見【解析附表 TN Exhibit B】）：</w:t>
      </w:r>
    </w:p>
    <w:tbl>
      <w:tblPr>
        <w:tblW w:type="auto" w:w="0"/>
        <w:jc w:val="center"/>
        <w:tblLook w:firstColumn="1" w:firstRow="1" w:lastColumn="0" w:lastRow="0" w:noHBand="0" w:noVBand="1" w:val="04A0"/>
      </w:tblPr>
      <w:tblGrid>
        <w:gridCol w:w="9648"/>
      </w:tblGrid>
      <w:tr>
        <w:tc>
          <w:tcPr>
            <w:tcW w:type="dxa" w:w="9648"/>
            <w:shd w:fill="F0F4F8"/>
            <w:tcMar>
              <w:top w:w="130" w:type="dxa"/>
              <w:bottom w:w="130" w:type="dxa"/>
              <w:left w:w="180" w:type="dxa"/>
              <w:right w:w="160" w:type="dxa"/>
            </w:tcMar>
            <w:tcBorders>
              <w:top w:val="single" w:sz="6" w:space="0" w:color="1B365D"/>
              <w:bottom w:val="single" w:sz="6" w:space="0" w:color="1B365D"/>
              <w:left w:val="single" w:sz="24" w:space="0" w:color="1B365D"/>
              <w:right w:val="none" w:sz="0" w:space="0" w:color="auto"/>
            </w:tcBorders>
          </w:tcPr>
          <w:p>
            <w:pPr>
              <w:spacing w:before="0" w:after="80"/>
            </w:pPr>
            <w:r>
              <w:rPr>
                <w:rFonts w:ascii="Times New Roman" w:hAnsi="Times New Roman" w:eastAsia="微軟正黑體"/>
                <w:b/>
                <w:i w:val="0"/>
                <w:color w:val="1B365D"/>
                <w:sz w:val="21"/>
              </w:rPr>
              <w:t>📐 雇主 1:1 對等提撥之雙階段即時報酬率數學推導（Nominal vs. Taiwan Tax-Adjusted Return）</w:t>
            </w:r>
          </w:p>
          <w:p>
            <w:pPr>
              <w:spacing w:before="40" w:after="60" w:line="312" w:lineRule="auto"/>
            </w:pPr>
            <w:r>
              <w:rPr>
                <w:rFonts w:ascii="Times New Roman" w:hAnsi="Times New Roman" w:eastAsia="微軟正黑體"/>
                <w:b/>
                <w:i w:val="0"/>
                <w:color w:val="1B365D"/>
                <w:sz w:val="19"/>
              </w:rPr>
              <w:t>【第一階段：名目本金之無風險即時報酬率（Nominal Immediate Return）】</w:t>
            </w:r>
            <w:r>
              <w:rPr>
                <w:rFonts w:ascii="Times New Roman" w:hAnsi="Times New Roman" w:eastAsia="微軟正黑體"/>
                <w:b w:val="0"/>
                <w:i w:val="0"/>
                <w:color w:val="1E1E1E"/>
                <w:sz w:val="19"/>
              </w:rPr>
            </w:r>
          </w:p>
          <w:p>
            <w:pPr>
              <w:spacing w:before="40" w:after="60" w:line="312" w:lineRule="auto"/>
            </w:pPr>
            <w:r>
              <w:rPr>
                <w:rFonts w:ascii="Times New Roman" w:hAnsi="Times New Roman" w:eastAsia="微軟正黑體"/>
                <w:b w:val="0"/>
                <w:i w:val="0"/>
                <w:color w:val="1E1E1E"/>
                <w:sz w:val="19"/>
              </w:rPr>
              <w:t>• 員工自提名目本金（Employee Nominal Contribution）= NT$1.00 元</w:t>
            </w:r>
          </w:p>
          <w:p>
            <w:pPr>
              <w:spacing w:before="40" w:after="60" w:line="312" w:lineRule="auto"/>
            </w:pPr>
            <w:r>
              <w:rPr>
                <w:rFonts w:ascii="Times New Roman" w:hAnsi="Times New Roman" w:eastAsia="微軟正黑體"/>
                <w:b w:val="0"/>
                <w:i w:val="0"/>
                <w:color w:val="1E1E1E"/>
                <w:sz w:val="19"/>
              </w:rPr>
              <w:t>• 雇主免費對等提撥獎勵金（Employer 1:1 Match）= +NT$1.00 元</w:t>
            </w:r>
          </w:p>
          <w:p>
            <w:pPr>
              <w:spacing w:before="40" w:after="60" w:line="312" w:lineRule="auto"/>
            </w:pPr>
            <w:r>
              <w:rPr>
                <w:rFonts w:ascii="Times New Roman" w:hAnsi="Times New Roman" w:eastAsia="微軟正黑體"/>
                <w:b w:val="0"/>
                <w:i w:val="0"/>
                <w:color w:val="1E1E1E"/>
                <w:sz w:val="19"/>
              </w:rPr>
              <w:t>• 提撥當下帳戶即刻入帳總資產（Immediate Ending Balance）= NT$1.00 + NT$1.00 = NT$2.00 元</w:t>
            </w:r>
          </w:p>
          <w:p>
            <w:pPr>
              <w:spacing w:before="40" w:after="60" w:line="312" w:lineRule="auto"/>
            </w:pPr>
            <w:r>
              <w:rPr>
                <w:rFonts w:ascii="Times New Roman" w:hAnsi="Times New Roman" w:eastAsia="微軟正黑體"/>
                <w:b w:val="0"/>
                <w:i w:val="0"/>
                <w:color w:val="1E1E1E"/>
                <w:sz w:val="19"/>
              </w:rPr>
              <w:t>• 名目即時投資報酬率 = (NT$2.00 - NT$1.00) ÷ NT$1.00 = +100.00%</w:t>
            </w:r>
          </w:p>
          <w:p>
            <w:pPr>
              <w:spacing w:before="40" w:after="60" w:line="312" w:lineRule="auto"/>
            </w:pPr>
            <w:r>
              <w:rPr>
                <w:rFonts w:ascii="Times New Roman" w:hAnsi="Times New Roman" w:eastAsia="微軟正黑體"/>
                <w:b/>
                <w:i w:val="0"/>
                <w:color w:val="1B365D"/>
                <w:sz w:val="19"/>
              </w:rPr>
              <w:t>【第二階段：計入台灣綜所稅 12% 邊際稅率稅盾後之稅後實質即時報酬率】</w:t>
            </w:r>
            <w:r>
              <w:rPr>
                <w:rFonts w:ascii="Times New Roman" w:hAnsi="Times New Roman" w:eastAsia="微軟正黑體"/>
                <w:b w:val="0"/>
                <w:i w:val="0"/>
                <w:color w:val="1E1E1E"/>
                <w:sz w:val="19"/>
              </w:rPr>
            </w:r>
          </w:p>
          <w:p>
            <w:pPr>
              <w:spacing w:before="40" w:after="60" w:line="312" w:lineRule="auto"/>
            </w:pPr>
            <w:r>
              <w:rPr>
                <w:rFonts w:ascii="Times New Roman" w:hAnsi="Times New Roman" w:eastAsia="微軟正黑體"/>
                <w:b w:val="0"/>
                <w:i w:val="0"/>
                <w:color w:val="1E1E1E"/>
                <w:sz w:val="19"/>
              </w:rPr>
              <w:t>• 由於員工自提之 NT$1.00 屬於「稅前扣除額（Pre-tax Deduction）」，在宥辰當前適用之台灣綜所稅邊際稅率 T = 12.0% 下，當期立即節省 NT$0.12 元所得稅（Immediate Tax Shield = NT$1.00 × 12% = NT$0.12）。</w:t>
            </w:r>
          </w:p>
          <w:p>
            <w:pPr>
              <w:spacing w:before="40" w:after="60" w:line="312" w:lineRule="auto"/>
            </w:pPr>
            <w:r>
              <w:rPr>
                <w:rFonts w:ascii="Times New Roman" w:hAnsi="Times New Roman" w:eastAsia="微軟正黑體"/>
                <w:b w:val="0"/>
                <w:i w:val="0"/>
                <w:color w:val="1E1E1E"/>
                <w:sz w:val="19"/>
              </w:rPr>
              <w:t>• 因此，宥辰口袋真正減少之「稅後實拿可支配薪資（Net Out-of-Pocket Sacrifice）」僅為：NT$1.00 × (1 - 12%) = NT$0.88 元！</w:t>
            </w:r>
          </w:p>
          <w:p>
            <w:pPr>
              <w:spacing w:before="40" w:after="60" w:line="312" w:lineRule="auto"/>
            </w:pPr>
            <w:r>
              <w:rPr>
                <w:rFonts w:ascii="Times New Roman" w:hAnsi="Times New Roman" w:eastAsia="微軟正黑體"/>
                <w:b w:val="0"/>
                <w:i w:val="0"/>
                <w:color w:val="1E1E1E"/>
                <w:sz w:val="19"/>
              </w:rPr>
              <w:t>• 宥辰僅犧牲 NT$0.88 元的當期消費能力，退休帳戶卻立即入帳 NT$2.00 元的真實金融資產：</w:t>
            </w:r>
          </w:p>
          <w:p>
            <w:pPr>
              <w:spacing w:before="40" w:after="60" w:line="312" w:lineRule="auto"/>
            </w:pPr>
            <w:r>
              <w:rPr>
                <w:rFonts w:ascii="Times New Roman" w:hAnsi="Times New Roman" w:eastAsia="微軟正黑體"/>
                <w:b w:val="0"/>
                <w:i w:val="0"/>
                <w:color w:val="1E1E1E"/>
                <w:sz w:val="19"/>
              </w:rPr>
              <w:t>• 稅後實質即時報酬率 = (NT$2.00 - NT$0.88) ÷ NT$0.88 = NT$1.12 ÷ NT$0.88 = +127.27%（資金瞬間放大倍數 = 2.00 ÷ 0.88 = 2.2727 倍！）</w:t>
            </w:r>
          </w:p>
          <w:p>
            <w:pPr>
              <w:spacing w:before="40" w:after="60" w:line="312" w:lineRule="auto"/>
            </w:pPr>
            <w:r>
              <w:rPr>
                <w:rFonts w:ascii="Times New Roman" w:hAnsi="Times New Roman" w:eastAsia="微軟正黑體"/>
                <w:b/>
                <w:i w:val="0"/>
                <w:color w:val="1B365D"/>
                <w:sz w:val="19"/>
              </w:rPr>
              <w:t>【延伸推算：當宥辰未來升任副理／協理（綜所稅率升至 20%、30%、40%）時】</w:t>
            </w:r>
            <w:r>
              <w:rPr>
                <w:rFonts w:ascii="Times New Roman" w:hAnsi="Times New Roman" w:eastAsia="微軟正黑體"/>
                <w:b w:val="0"/>
                <w:i w:val="0"/>
                <w:color w:val="1E1E1E"/>
                <w:sz w:val="19"/>
              </w:rPr>
            </w:r>
          </w:p>
          <w:p>
            <w:pPr>
              <w:spacing w:before="40" w:after="60" w:line="312" w:lineRule="auto"/>
            </w:pPr>
            <w:r>
              <w:rPr>
                <w:rFonts w:ascii="Times New Roman" w:hAnsi="Times New Roman" w:eastAsia="微軟正黑體"/>
                <w:b w:val="0"/>
                <w:i w:val="0"/>
                <w:color w:val="1E1E1E"/>
                <w:sz w:val="19"/>
              </w:rPr>
              <w:t>• 當 T = 20% 時：實質自付 NT$0.80 換取 NT$2.00 ➔ 稅後實質即時報酬率 = (2.00 - 0.80) ÷ 0.80 = +150.00%（放大 2.50 倍）！</w:t>
            </w:r>
          </w:p>
          <w:p>
            <w:pPr>
              <w:spacing w:before="40" w:after="60" w:line="312" w:lineRule="auto"/>
            </w:pPr>
            <w:r>
              <w:rPr>
                <w:rFonts w:ascii="Times New Roman" w:hAnsi="Times New Roman" w:eastAsia="微軟正黑體"/>
                <w:b w:val="0"/>
                <w:i w:val="0"/>
                <w:color w:val="1E1E1E"/>
                <w:sz w:val="19"/>
              </w:rPr>
              <w:t>• 當 T = 30% 時：實質自付 NT$0.70 換取 NT$2.00 ➔ 稅後實質即時報酬率 = (2.00 - 0.70) ÷ 0.70 = +185.71%（放大 2.86 倍）！</w:t>
            </w:r>
          </w:p>
          <w:p>
            <w:pPr>
              <w:spacing w:before="40" w:after="60" w:line="312" w:lineRule="auto"/>
            </w:pPr>
            <w:r>
              <w:rPr>
                <w:rFonts w:ascii="Times New Roman" w:hAnsi="Times New Roman" w:eastAsia="微軟正黑體"/>
                <w:b w:val="0"/>
                <w:i w:val="0"/>
                <w:color w:val="1E1E1E"/>
                <w:sz w:val="19"/>
              </w:rPr>
              <w:t>• 當 T = 40% 時：實質自付 NT$0.60 換取 NT$2.00 ➔ 稅後實質即時報酬率 = (2.00 - 0.60) ÷ 0.60 = +233.33%（放大 3.33 倍）！</w:t>
            </w:r>
          </w:p>
        </w:tc>
      </w:tr>
    </w:tbl>
    <w:p>
      <w:pPr>
        <w:spacing w:before="0" w:after="80"/>
      </w:pPr>
    </w:p>
    <w:p>
      <w:pPr>
        <w:keepNext/>
        <w:spacing w:before="240" w:after="80"/>
      </w:pPr>
      <w:r>
        <w:rPr>
          <w:rFonts w:ascii="Times New Roman" w:hAnsi="Times New Roman" w:eastAsia="微軟正黑體"/>
          <w:b/>
          <w:i w:val="0"/>
          <w:color w:val="A51C30"/>
          <w:sz w:val="21"/>
        </w:rPr>
        <w:t xml:space="preserve">解析附表二（TN Exhibit B）　</w:t>
      </w:r>
      <w:r>
        <w:rPr>
          <w:rFonts w:ascii="Times New Roman" w:hAnsi="Times New Roman" w:eastAsia="微軟正黑體"/>
          <w:b/>
          <w:i w:val="0"/>
          <w:color w:val="1E1E1E"/>
          <w:sz w:val="21"/>
        </w:rPr>
        <w:t>台灣綜合所得稅不同邊際稅率級距（5%～40%）下「雇主 1:1 配比 + 稅前扣除稅盾」即時報酬率對照表</w:t>
      </w:r>
    </w:p>
    <w:tbl>
      <w:tblPr>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206"/>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台灣綜所稅邊際稅率級距</w:t>
              <w:br/>
              <w:t>與對應職涯階段</w:t>
            </w:r>
          </w:p>
        </w:tc>
        <w:tc>
          <w:tcPr>
            <w:tcW w:type="dxa" w:w="1206"/>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員工稅前自提</w:t>
              <w:br/>
              <w:t>名目金額</w:t>
            </w:r>
          </w:p>
        </w:tc>
        <w:tc>
          <w:tcPr>
            <w:tcW w:type="dxa" w:w="1206"/>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當期綜所稅節省</w:t>
              <w:br/>
              <w:t>稅盾 (T × $1)</w:t>
            </w:r>
          </w:p>
        </w:tc>
        <w:tc>
          <w:tcPr>
            <w:tcW w:type="dxa" w:w="1206"/>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員工口袋實拿薪資</w:t>
              <w:br/>
              <w:t>實質減少額 (1 - T)</w:t>
            </w:r>
          </w:p>
        </w:tc>
        <w:tc>
          <w:tcPr>
            <w:tcW w:type="dxa" w:w="1206"/>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雇主 1:1 免費</w:t>
              <w:br/>
              <w:t>對等提撥額</w:t>
            </w:r>
          </w:p>
        </w:tc>
        <w:tc>
          <w:tcPr>
            <w:tcW w:type="dxa" w:w="1206"/>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退休信託專戶</w:t>
              <w:br/>
              <w:t>即刻入帳總額</w:t>
            </w:r>
          </w:p>
        </w:tc>
        <w:tc>
          <w:tcPr>
            <w:tcW w:type="dxa" w:w="1206"/>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名目即時報酬率</w:t>
              <w:br/>
              <w:t>(($2-$1)/$1)</w:t>
            </w:r>
          </w:p>
        </w:tc>
        <w:tc>
          <w:tcPr>
            <w:tcW w:type="dxa" w:w="1206"/>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稅後實質即時報酬率</w:t>
              <w:br/>
              <w:t>(($2-(1-T))/(1-T))</w:t>
            </w:r>
          </w:p>
        </w:tc>
      </w:tr>
      <w:tr>
        <w:tc>
          <w:tcPr>
            <w:tcW w:type="dxa" w:w="120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第一級距 (T = 5.0%)</w:t>
              <w:br/>
              <w:t>基層助理</w:t>
            </w:r>
          </w:p>
        </w:tc>
        <w:tc>
          <w:tcPr>
            <w:tcW w:type="dxa" w:w="120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NT$1.00</w:t>
            </w:r>
          </w:p>
        </w:tc>
        <w:tc>
          <w:tcPr>
            <w:tcW w:type="dxa" w:w="120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+NT$0.05</w:t>
            </w:r>
          </w:p>
        </w:tc>
        <w:tc>
          <w:tcPr>
            <w:tcW w:type="dxa" w:w="120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NT$0.95</w:t>
            </w:r>
          </w:p>
        </w:tc>
        <w:tc>
          <w:tcPr>
            <w:tcW w:type="dxa" w:w="120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+NT$1.00</w:t>
            </w:r>
          </w:p>
        </w:tc>
        <w:tc>
          <w:tcPr>
            <w:tcW w:type="dxa" w:w="120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NT$2.00</w:t>
            </w:r>
          </w:p>
        </w:tc>
        <w:tc>
          <w:tcPr>
            <w:tcW w:type="dxa" w:w="120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+100.00%</w:t>
            </w:r>
          </w:p>
        </w:tc>
        <w:tc>
          <w:tcPr>
            <w:tcW w:type="dxa" w:w="120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+110.53%</w:t>
              <w:br/>
              <w:t>(放大 2.11 倍)</w:t>
            </w:r>
          </w:p>
        </w:tc>
      </w:tr>
      <w:tr>
        <w:tc>
          <w:tcPr>
            <w:tcW w:type="dxa" w:w="120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第二級距 (T = 12.0%)</w:t>
              <w:br/>
              <w:t>【本案主角：初階分析師】</w:t>
            </w:r>
          </w:p>
        </w:tc>
        <w:tc>
          <w:tcPr>
            <w:tcW w:type="dxa" w:w="120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NT$1.00</w:t>
            </w:r>
          </w:p>
        </w:tc>
        <w:tc>
          <w:tcPr>
            <w:tcW w:type="dxa" w:w="120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+NT$0.12</w:t>
            </w:r>
          </w:p>
        </w:tc>
        <w:tc>
          <w:tcPr>
            <w:tcW w:type="dxa" w:w="120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NT$0.88</w:t>
            </w:r>
          </w:p>
        </w:tc>
        <w:tc>
          <w:tcPr>
            <w:tcW w:type="dxa" w:w="120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+NT$1.00</w:t>
            </w:r>
          </w:p>
        </w:tc>
        <w:tc>
          <w:tcPr>
            <w:tcW w:type="dxa" w:w="120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NT$2.00</w:t>
            </w:r>
          </w:p>
        </w:tc>
        <w:tc>
          <w:tcPr>
            <w:tcW w:type="dxa" w:w="120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+100.00%</w:t>
            </w:r>
          </w:p>
        </w:tc>
        <w:tc>
          <w:tcPr>
            <w:tcW w:type="dxa" w:w="120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+127.27%</w:t>
              <w:br/>
              <w:t>(放大 2.27 倍)</w:t>
            </w:r>
          </w:p>
        </w:tc>
      </w:tr>
      <w:tr>
        <w:tc>
          <w:tcPr>
            <w:tcW w:type="dxa" w:w="120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第三級距 (T = 20.0%)</w:t>
              <w:br/>
              <w:t>資深副理 / 專案經理</w:t>
            </w:r>
          </w:p>
        </w:tc>
        <w:tc>
          <w:tcPr>
            <w:tcW w:type="dxa" w:w="120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NT$1.00</w:t>
            </w:r>
          </w:p>
        </w:tc>
        <w:tc>
          <w:tcPr>
            <w:tcW w:type="dxa" w:w="120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+NT$0.20</w:t>
            </w:r>
          </w:p>
        </w:tc>
        <w:tc>
          <w:tcPr>
            <w:tcW w:type="dxa" w:w="120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NT$0.80</w:t>
            </w:r>
          </w:p>
        </w:tc>
        <w:tc>
          <w:tcPr>
            <w:tcW w:type="dxa" w:w="120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+NT$1.00</w:t>
            </w:r>
          </w:p>
        </w:tc>
        <w:tc>
          <w:tcPr>
            <w:tcW w:type="dxa" w:w="120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NT$2.00</w:t>
            </w:r>
          </w:p>
        </w:tc>
        <w:tc>
          <w:tcPr>
            <w:tcW w:type="dxa" w:w="120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+100.00%</w:t>
            </w:r>
          </w:p>
        </w:tc>
        <w:tc>
          <w:tcPr>
            <w:tcW w:type="dxa" w:w="120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+150.00%</w:t>
              <w:br/>
              <w:t>(放大 2.50 倍)</w:t>
            </w:r>
          </w:p>
        </w:tc>
      </w:tr>
      <w:tr>
        <w:tc>
          <w:tcPr>
            <w:tcW w:type="dxa" w:w="120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第四級距 (T = 30.0%)</w:t>
              <w:br/>
              <w:t>處長 / 協理 / 高階主管</w:t>
            </w:r>
          </w:p>
        </w:tc>
        <w:tc>
          <w:tcPr>
            <w:tcW w:type="dxa" w:w="120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NT$1.00</w:t>
            </w:r>
          </w:p>
        </w:tc>
        <w:tc>
          <w:tcPr>
            <w:tcW w:type="dxa" w:w="120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+NT$0.30</w:t>
            </w:r>
          </w:p>
        </w:tc>
        <w:tc>
          <w:tcPr>
            <w:tcW w:type="dxa" w:w="120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NT$0.70</w:t>
            </w:r>
          </w:p>
        </w:tc>
        <w:tc>
          <w:tcPr>
            <w:tcW w:type="dxa" w:w="120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+NT$1.00</w:t>
            </w:r>
          </w:p>
        </w:tc>
        <w:tc>
          <w:tcPr>
            <w:tcW w:type="dxa" w:w="120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NT$2.00</w:t>
            </w:r>
          </w:p>
        </w:tc>
        <w:tc>
          <w:tcPr>
            <w:tcW w:type="dxa" w:w="120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+100.00%</w:t>
            </w:r>
          </w:p>
        </w:tc>
        <w:tc>
          <w:tcPr>
            <w:tcW w:type="dxa" w:w="120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+185.71%</w:t>
              <w:br/>
              <w:t>(放大 2.86 倍)</w:t>
            </w:r>
          </w:p>
        </w:tc>
      </w:tr>
      <w:tr>
        <w:tc>
          <w:tcPr>
            <w:tcW w:type="dxa" w:w="1206"/>
            <w:shd w:fill="FFFFFF"/>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第五級距 (T = 40.0%)</w:t>
              <w:br/>
              <w:t>總經理 / 企業高管</w:t>
            </w:r>
          </w:p>
        </w:tc>
        <w:tc>
          <w:tcPr>
            <w:tcW w:type="dxa" w:w="1206"/>
            <w:shd w:fill="FFFFFF"/>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NT$1.00</w:t>
            </w:r>
          </w:p>
        </w:tc>
        <w:tc>
          <w:tcPr>
            <w:tcW w:type="dxa" w:w="1206"/>
            <w:shd w:fill="FFFFFF"/>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+NT$0.40</w:t>
            </w:r>
          </w:p>
        </w:tc>
        <w:tc>
          <w:tcPr>
            <w:tcW w:type="dxa" w:w="1206"/>
            <w:shd w:fill="FFFFFF"/>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NT$0.60</w:t>
            </w:r>
          </w:p>
        </w:tc>
        <w:tc>
          <w:tcPr>
            <w:tcW w:type="dxa" w:w="1206"/>
            <w:shd w:fill="FFFFFF"/>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+NT$1.00</w:t>
            </w:r>
          </w:p>
        </w:tc>
        <w:tc>
          <w:tcPr>
            <w:tcW w:type="dxa" w:w="1206"/>
            <w:shd w:fill="FFFFFF"/>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NT$2.00</w:t>
            </w:r>
          </w:p>
        </w:tc>
        <w:tc>
          <w:tcPr>
            <w:tcW w:type="dxa" w:w="1206"/>
            <w:shd w:fill="FFFFFF"/>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+100.00%</w:t>
            </w:r>
          </w:p>
        </w:tc>
        <w:tc>
          <w:tcPr>
            <w:tcW w:type="dxa" w:w="1206"/>
            <w:shd w:fill="FFFFFF"/>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+233.33%</w:t>
              <w:br/>
              <w:t>(放大 3.33 倍)</w:t>
            </w:r>
          </w:p>
        </w:tc>
      </w:tr>
    </w:tbl>
    <w:p>
      <w:pPr>
        <w:spacing w:before="60" w:after="160"/>
      </w:pPr>
      <w:r>
        <w:rPr>
          <w:rFonts w:ascii="Times New Roman" w:hAnsi="Times New Roman" w:eastAsia="微軟正黑體"/>
          <w:b w:val="0"/>
          <w:i/>
          <w:color w:val="595959"/>
          <w:sz w:val="17"/>
        </w:rPr>
        <w:t>資料來源：個案作者依台灣《所得稅法》綜合所得稅五級累進稅率與翔鷹航太 1:1 對等提撥規則精算。</w:t>
      </w:r>
    </w:p>
    <w:p>
      <w:pPr>
        <w:keepNext/>
        <w:spacing w:before="320" w:after="120"/>
        <w:pBdr>
          <w:bottom w:val="single" w:sz="8" w:space="3" w:color="A51C30"/>
        </w:pBdr>
      </w:pPr>
      <w:r>
        <w:rPr>
          <w:rFonts w:ascii="Times New Roman" w:hAnsi="Times New Roman" w:eastAsia="微軟正黑體"/>
          <w:b/>
          <w:i w:val="0"/>
          <w:color w:val="A51C30"/>
          <w:sz w:val="26"/>
        </w:rPr>
        <w:t>問題三解析：配置台灣大型權值股指數（元大台灣 50，0050 / 006208）之優勢與適配性</w:t>
      </w:r>
    </w:p>
    <w:p>
      <w:pPr>
        <w:spacing w:before="0" w:after="120" w:line="331" w:lineRule="auto"/>
      </w:pPr>
      <w:r>
        <w:rPr>
          <w:rFonts w:ascii="Times New Roman" w:hAnsi="Times New Roman" w:eastAsia="微軟正黑體"/>
          <w:b w:val="0"/>
          <w:i w:val="0"/>
          <w:color w:val="1E1E1E"/>
          <w:sz w:val="21"/>
        </w:rPr>
        <w:t>將退休資產的核心部位配置於被動追蹤「臺灣 50 指數」之「元大台灣卓越 50 指數基金（0050 / 006208）」（預期長期含息年化報酬率 10.00%，年化標準差 16.00%，平台管理費率 0.10%），並反駁人資林組長（Linda）「全放台幣貨幣市場與債券保本」之觀點，具備四大核心優勢：</w:t>
      </w:r>
    </w:p>
    <w:p>
      <w:pPr>
        <w:spacing w:before="0" w:after="120" w:line="331" w:lineRule="auto"/>
      </w:pPr>
      <w:r>
        <w:rPr>
          <w:rFonts w:ascii="Times New Roman" w:hAnsi="Times New Roman" w:eastAsia="微軟正黑體"/>
          <w:b/>
          <w:i w:val="0"/>
          <w:color w:val="1B365D"/>
          <w:sz w:val="21"/>
        </w:rPr>
        <w:t>1. 優點一（分享台灣護國神山群與全球科技成長紅利，擊敗長期通膨）：</w:t>
      </w:r>
      <w:r>
        <w:rPr>
          <w:rFonts w:ascii="Times New Roman" w:hAnsi="Times New Roman" w:eastAsia="微軟正黑體"/>
          <w:b w:val="0"/>
          <w:i w:val="0"/>
          <w:color w:val="1E1E1E"/>
          <w:sz w:val="21"/>
        </w:rPr>
        <w:t>臺灣 50 指數囊括台積電、鴻海、聯發科、台達電、廣達、富邦金等台灣最具全球半導體與 AI 供應鏈統治力的前 50 大市值龍頭。台股自 2003 年臺灣 50 指數發布以來，長期含息再投資之年化報酬率約達 10.0% 左右，遠高於台幣貨幣市場基金（2.5%）與債券基金（5.0%）。在 43 年複利期下，10.0% 報酬率能將單筆本金放大 60.24 倍，徹底擊敗台灣房價與物價通膨；反之，林組長偏好的台幣貨幣市場基金（2.5%）扣除通膨後實質購買力完全停滯。</w:t>
      </w:r>
    </w:p>
    <w:p>
      <w:pPr>
        <w:spacing w:before="0" w:after="120" w:line="331" w:lineRule="auto"/>
      </w:pPr>
      <w:r>
        <w:rPr>
          <w:rFonts w:ascii="Times New Roman" w:hAnsi="Times New Roman" w:eastAsia="微軟正黑體"/>
          <w:b/>
          <w:i w:val="0"/>
          <w:color w:val="1B365D"/>
          <w:sz w:val="21"/>
        </w:rPr>
        <w:t>2. 優點二（極低內扣費用率與免除經理人選股失誤風險）：</w:t>
      </w:r>
      <w:r>
        <w:rPr>
          <w:rFonts w:ascii="Times New Roman" w:hAnsi="Times New Roman" w:eastAsia="微軟正黑體"/>
          <w:b w:val="0"/>
          <w:i w:val="0"/>
          <w:color w:val="1E1E1E"/>
          <w:sz w:val="21"/>
        </w:rPr>
        <w:t>被動市值型指數基金不依賴基金經理人主觀猜測高低點，平台年度內扣費用率僅 0.10%，遠低於台灣一般主動型台股基金（每年 1.5%～2.0% 管理費加計頻繁換股手續費與證交稅），在 43 年複利期下可省下數百萬新台幣的費用侵蝕。</w:t>
      </w:r>
    </w:p>
    <w:p>
      <w:pPr>
        <w:spacing w:before="0" w:after="120" w:line="331" w:lineRule="auto"/>
      </w:pPr>
      <w:r>
        <w:rPr>
          <w:rFonts w:ascii="Times New Roman" w:hAnsi="Times New Roman" w:eastAsia="微軟正黑體"/>
          <w:b/>
          <w:i w:val="0"/>
          <w:color w:val="1B365D"/>
          <w:sz w:val="21"/>
        </w:rPr>
        <w:t>3. 優點三（每季自動汰弱留強機制與高度流動性）：</w:t>
      </w:r>
      <w:r>
        <w:rPr>
          <w:rFonts w:ascii="Times New Roman" w:hAnsi="Times New Roman" w:eastAsia="微軟正黑體"/>
          <w:b w:val="0"/>
          <w:i w:val="0"/>
          <w:color w:val="1E1E1E"/>
          <w:sz w:val="21"/>
        </w:rPr>
        <w:t>臺灣 50 指數每季（3、6、9、12 月）定期執行成分股定審——市值衰退跌出前 60 名的企業會被自動剔除，並自動納入市值崛起躍居前 40 名的新興產業霸主。因此持有 0050 具備「自動汰弱留強、零破產風險」的永續生存機制。</w:t>
      </w:r>
    </w:p>
    <w:p>
      <w:pPr>
        <w:spacing w:before="0" w:after="120" w:line="331" w:lineRule="auto"/>
      </w:pPr>
      <w:r>
        <w:rPr>
          <w:rFonts w:ascii="Times New Roman" w:hAnsi="Times New Roman" w:eastAsia="微軟正黑體"/>
          <w:b/>
          <w:i w:val="0"/>
          <w:color w:val="1B365D"/>
          <w:sz w:val="21"/>
        </w:rPr>
        <w:t>4. 潛在風險與 43 年時間跨度之完美適配（系統性波動 vs. 定期定額微笑曲線）：</w:t>
      </w:r>
      <w:r>
        <w:rPr>
          <w:rFonts w:ascii="Times New Roman" w:hAnsi="Times New Roman" w:eastAsia="微軟正黑體"/>
          <w:b w:val="0"/>
          <w:i w:val="0"/>
          <w:color w:val="1E1E1E"/>
          <w:sz w:val="21"/>
        </w:rPr>
        <w:t>雖然 0050 須承擔台股大盤系統性波動風險（年化標準差 16.0%，例如 2022 年因聯準會暴力升息與半導體庫存調整曾回檔約 25%～30%），但林宥辰年僅 22 歲，距離 65 歲退休尚有整整 43 年（516 個月）。透過每月發薪自動扣款的「定期定額微笑曲線（Dollar-Cost Averaging）」機制，年輕時台股若遇空頭大跌，每月的 NT$5,000～NT$10,000 扣款反而能逢低買進更多便宜的 0050 單位數，待景氣復甦時創造更驚人的累積財富！</w:t>
      </w:r>
    </w:p>
    <w:p>
      <w:pPr>
        <w:keepNext/>
        <w:spacing w:before="320" w:after="120"/>
        <w:pBdr>
          <w:bottom w:val="single" w:sz="8" w:space="3" w:color="A51C30"/>
        </w:pBdr>
      </w:pPr>
      <w:r>
        <w:rPr>
          <w:rFonts w:ascii="Times New Roman" w:hAnsi="Times New Roman" w:eastAsia="微軟正黑體"/>
          <w:b/>
          <w:i w:val="0"/>
          <w:color w:val="A51C30"/>
          <w:sz w:val="26"/>
        </w:rPr>
        <w:t>問題四解析：稅前自提對每月新台幣薪資支票（Paycheck）與實拿現金之衝擊精算</w:t>
      </w:r>
    </w:p>
    <w:p>
      <w:pPr>
        <w:spacing w:before="0" w:after="120" w:line="331" w:lineRule="auto"/>
      </w:pPr>
      <w:r>
        <w:rPr>
          <w:rFonts w:ascii="Times New Roman" w:hAnsi="Times New Roman" w:eastAsia="微軟正黑體"/>
          <w:b w:val="0"/>
          <w:i w:val="0"/>
          <w:color w:val="1E1E1E"/>
          <w:sz w:val="21"/>
        </w:rPr>
        <w:t>以林宥辰起始年薪 NT$600,000 元（每月稅前全薪 Gross Pay = NT$50,000 元）、適用台灣綜所稅邊際稅率 T = 12.0% 為基準。若完全不參加（方案 A：自提 0%），每月課稅所得為 NT$50,000 元，每月應納綜所稅額為 NT$50,000 × 12% = NT$6,000 元，基準每月實際到手薪資（Baseline Take-Home Pay）為 NT$50,000 - NT$6,000 = NT$44,000 元。</w:t>
      </w:r>
    </w:p>
    <w:p>
      <w:pPr>
        <w:spacing w:before="0" w:after="120" w:line="331" w:lineRule="auto"/>
      </w:pPr>
      <w:r>
        <w:rPr>
          <w:rFonts w:ascii="Times New Roman" w:hAnsi="Times New Roman" w:eastAsia="微軟正黑體"/>
          <w:b w:val="0"/>
          <w:i w:val="0"/>
          <w:color w:val="1E1E1E"/>
          <w:sz w:val="21"/>
        </w:rPr>
        <w:t>當宥辰選擇稅前自提比例 c（0%、5%、10%、15%）時，每月薪資支票之完整拆解精算如下表所示（【解析附表 TN Exhibit C】）：</w:t>
      </w:r>
    </w:p>
    <w:p>
      <w:pPr>
        <w:keepNext/>
        <w:spacing w:before="240" w:after="80"/>
      </w:pPr>
      <w:r>
        <w:rPr>
          <w:rFonts w:ascii="Times New Roman" w:hAnsi="Times New Roman" w:eastAsia="微軟正黑體"/>
          <w:b/>
          <w:i w:val="0"/>
          <w:color w:val="A51C30"/>
          <w:sz w:val="21"/>
        </w:rPr>
        <w:t xml:space="preserve">解析附表三（TN Exhibit C）　</w:t>
      </w:r>
      <w:r>
        <w:rPr>
          <w:rFonts w:ascii="Times New Roman" w:hAnsi="Times New Roman" w:eastAsia="微軟正黑體"/>
          <w:b/>
          <w:i w:val="0"/>
          <w:color w:val="1E1E1E"/>
          <w:sz w:val="21"/>
        </w:rPr>
        <w:t>四種自提比例方案（0%、5%、10%、15%）每月新台幣薪資單拆解與綜所稅盾現金流衝擊表</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每月薪資單 (Paycheck) 與稅務拆解項目</w:t>
            </w:r>
          </w:p>
        </w:tc>
        <w:tc>
          <w:tcPr>
            <w:tcW w:type="dxa" w:w="1930"/>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方案 A：自提 0%</w:t>
              <w:br/>
              <w:t>(陳建宏建議：不參加)</w:t>
            </w:r>
          </w:p>
        </w:tc>
        <w:tc>
          <w:tcPr>
            <w:tcW w:type="dxa" w:w="1930"/>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方案 B：自提 5%</w:t>
              <w:br/>
              <w:t>(吃滿 5% 雇主配比)</w:t>
            </w:r>
          </w:p>
        </w:tc>
        <w:tc>
          <w:tcPr>
            <w:tcW w:type="dxa" w:w="1930"/>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方案 C：自提 10%</w:t>
              <w:br/>
              <w:t>(穩健加速儲蓄型)</w:t>
            </w:r>
          </w:p>
        </w:tc>
        <w:tc>
          <w:tcPr>
            <w:tcW w:type="dxa" w:w="1930"/>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方案 D：自提 15%</w:t>
              <w:br/>
              <w:t>(自提最高上限)</w:t>
            </w:r>
          </w:p>
        </w:tc>
      </w:tr>
      <w:tr>
        <w:tc>
          <w:tcPr>
            <w:tcW w:type="dxa" w:w="1930"/>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① 每月稅前總薪資 (Monthly Gross Pay)</w:t>
            </w:r>
          </w:p>
        </w:tc>
        <w:tc>
          <w:tcPr>
            <w:tcW w:type="dxa" w:w="1930"/>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NT$50,000</w:t>
            </w:r>
          </w:p>
        </w:tc>
        <w:tc>
          <w:tcPr>
            <w:tcW w:type="dxa" w:w="1930"/>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NT$50,000</w:t>
            </w:r>
          </w:p>
        </w:tc>
        <w:tc>
          <w:tcPr>
            <w:tcW w:type="dxa" w:w="1930"/>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NT$50,000</w:t>
            </w:r>
          </w:p>
        </w:tc>
        <w:tc>
          <w:tcPr>
            <w:tcW w:type="dxa" w:w="1930"/>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NT$50,000</w:t>
            </w:r>
          </w:p>
        </w:tc>
      </w:tr>
      <w:tr>
        <w:tc>
          <w:tcPr>
            <w:tcW w:type="dxa" w:w="1930"/>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② 每月個人稅前自提扣款 (c × NT$50,000)</w:t>
            </w:r>
          </w:p>
        </w:tc>
        <w:tc>
          <w:tcPr>
            <w:tcW w:type="dxa" w:w="1930"/>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NT$0</w:t>
            </w:r>
          </w:p>
        </w:tc>
        <w:tc>
          <w:tcPr>
            <w:tcW w:type="dxa" w:w="1930"/>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NT$2,500</w:t>
            </w:r>
          </w:p>
        </w:tc>
        <w:tc>
          <w:tcPr>
            <w:tcW w:type="dxa" w:w="1930"/>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NT$5,000</w:t>
            </w:r>
          </w:p>
        </w:tc>
        <w:tc>
          <w:tcPr>
            <w:tcW w:type="dxa" w:w="1930"/>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NT$7,500</w:t>
            </w:r>
          </w:p>
        </w:tc>
      </w:tr>
      <w:tr>
        <w:tc>
          <w:tcPr>
            <w:tcW w:type="dxa" w:w="1930"/>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③ 每月雇主 1:1 對等獎勵金 (上限 5% = $2,500)</w:t>
            </w:r>
          </w:p>
        </w:tc>
        <w:tc>
          <w:tcPr>
            <w:tcW w:type="dxa" w:w="1930"/>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NT$0</w:t>
            </w:r>
          </w:p>
        </w:tc>
        <w:tc>
          <w:tcPr>
            <w:tcW w:type="dxa" w:w="1930"/>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NT$2,500</w:t>
            </w:r>
          </w:p>
        </w:tc>
        <w:tc>
          <w:tcPr>
            <w:tcW w:type="dxa" w:w="1930"/>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NT$2,500 (達上限)</w:t>
            </w:r>
          </w:p>
        </w:tc>
        <w:tc>
          <w:tcPr>
            <w:tcW w:type="dxa" w:w="1930"/>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NT$2,500 (達上限)</w:t>
            </w:r>
          </w:p>
        </w:tc>
      </w:tr>
      <w:tr>
        <w:tc>
          <w:tcPr>
            <w:tcW w:type="dxa" w:w="1930"/>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④ 每月存入退休信託專戶總額 (② + ③)</w:t>
            </w:r>
          </w:p>
        </w:tc>
        <w:tc>
          <w:tcPr>
            <w:tcW w:type="dxa" w:w="1930"/>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NT$0</w:t>
            </w:r>
          </w:p>
        </w:tc>
        <w:tc>
          <w:tcPr>
            <w:tcW w:type="dxa" w:w="1930"/>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NT$5,000</w:t>
            </w:r>
          </w:p>
        </w:tc>
        <w:tc>
          <w:tcPr>
            <w:tcW w:type="dxa" w:w="1930"/>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NT$7,500</w:t>
            </w:r>
          </w:p>
        </w:tc>
        <w:tc>
          <w:tcPr>
            <w:tcW w:type="dxa" w:w="1930"/>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NT$10,000</w:t>
            </w:r>
          </w:p>
        </w:tc>
      </w:tr>
      <w:tr>
        <w:tc>
          <w:tcPr>
            <w:tcW w:type="dxa" w:w="1930"/>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⑤ 每年存入退休信託專戶總額 (④ × 12 個月)</w:t>
            </w:r>
          </w:p>
        </w:tc>
        <w:tc>
          <w:tcPr>
            <w:tcW w:type="dxa" w:w="1930"/>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NT$0 / 年</w:t>
            </w:r>
          </w:p>
        </w:tc>
        <w:tc>
          <w:tcPr>
            <w:tcW w:type="dxa" w:w="1930"/>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NT$60,000 / 年</w:t>
            </w:r>
          </w:p>
        </w:tc>
        <w:tc>
          <w:tcPr>
            <w:tcW w:type="dxa" w:w="1930"/>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NT$90,000 / 年</w:t>
            </w:r>
          </w:p>
        </w:tc>
        <w:tc>
          <w:tcPr>
            <w:tcW w:type="dxa" w:w="1930"/>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NT$120,000 / 年</w:t>
            </w:r>
          </w:p>
        </w:tc>
      </w:tr>
      <w:tr>
        <w:tc>
          <w:tcPr>
            <w:tcW w:type="dxa" w:w="1930"/>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⑥ 每月課稅所得 (Taxable Income = ① - ②)</w:t>
            </w:r>
          </w:p>
        </w:tc>
        <w:tc>
          <w:tcPr>
            <w:tcW w:type="dxa" w:w="1930"/>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NT$50,000</w:t>
            </w:r>
          </w:p>
        </w:tc>
        <w:tc>
          <w:tcPr>
            <w:tcW w:type="dxa" w:w="1930"/>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NT$47,500</w:t>
            </w:r>
          </w:p>
        </w:tc>
        <w:tc>
          <w:tcPr>
            <w:tcW w:type="dxa" w:w="1930"/>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NT$45,000</w:t>
            </w:r>
          </w:p>
        </w:tc>
        <w:tc>
          <w:tcPr>
            <w:tcW w:type="dxa" w:w="1930"/>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NT$42,500</w:t>
            </w:r>
          </w:p>
        </w:tc>
      </w:tr>
      <w:tr>
        <w:tc>
          <w:tcPr>
            <w:tcW w:type="dxa" w:w="1930"/>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⑦ 每月應納綜所稅額 (⑥ × 邊際稅率 12.0%)</w:t>
            </w:r>
          </w:p>
        </w:tc>
        <w:tc>
          <w:tcPr>
            <w:tcW w:type="dxa" w:w="1930"/>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NT$6,000</w:t>
            </w:r>
          </w:p>
        </w:tc>
        <w:tc>
          <w:tcPr>
            <w:tcW w:type="dxa" w:w="1930"/>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NT$5,700</w:t>
            </w:r>
          </w:p>
        </w:tc>
        <w:tc>
          <w:tcPr>
            <w:tcW w:type="dxa" w:w="1930"/>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NT$5,400</w:t>
            </w:r>
          </w:p>
        </w:tc>
        <w:tc>
          <w:tcPr>
            <w:tcW w:type="dxa" w:w="1930"/>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NT$5,100</w:t>
            </w:r>
          </w:p>
        </w:tc>
      </w:tr>
      <w:tr>
        <w:tc>
          <w:tcPr>
            <w:tcW w:type="dxa" w:w="1930"/>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⑧ 每月綜所稅節省額 / 當期稅盾 ($6,000 - ⑦)</w:t>
            </w:r>
          </w:p>
        </w:tc>
        <w:tc>
          <w:tcPr>
            <w:tcW w:type="dxa" w:w="1930"/>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NT$0</w:t>
            </w:r>
          </w:p>
        </w:tc>
        <w:tc>
          <w:tcPr>
            <w:tcW w:type="dxa" w:w="1930"/>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+NT$300</w:t>
            </w:r>
          </w:p>
        </w:tc>
        <w:tc>
          <w:tcPr>
            <w:tcW w:type="dxa" w:w="1930"/>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+NT$600</w:t>
            </w:r>
          </w:p>
        </w:tc>
        <w:tc>
          <w:tcPr>
            <w:tcW w:type="dxa" w:w="1930"/>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+NT$900</w:t>
            </w:r>
          </w:p>
        </w:tc>
      </w:tr>
      <w:tr>
        <w:tc>
          <w:tcPr>
            <w:tcW w:type="dxa" w:w="1930"/>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⑨ 每月實際到手薪資 (Take-Home Pay = ①-②-⑦)</w:t>
            </w:r>
          </w:p>
        </w:tc>
        <w:tc>
          <w:tcPr>
            <w:tcW w:type="dxa" w:w="1930"/>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NT$44,000</w:t>
            </w:r>
          </w:p>
        </w:tc>
        <w:tc>
          <w:tcPr>
            <w:tcW w:type="dxa" w:w="1930"/>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NT$41,800</w:t>
            </w:r>
          </w:p>
        </w:tc>
        <w:tc>
          <w:tcPr>
            <w:tcW w:type="dxa" w:w="1930"/>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NT$39,600</w:t>
            </w:r>
          </w:p>
        </w:tc>
        <w:tc>
          <w:tcPr>
            <w:tcW w:type="dxa" w:w="1930"/>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NT$37,400</w:t>
            </w:r>
          </w:p>
        </w:tc>
      </w:tr>
      <w:tr>
        <w:tc>
          <w:tcPr>
            <w:tcW w:type="dxa" w:w="1930"/>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⑩ 每月實拿薪資減少額 (NT$44,000 - ⑨)</w:t>
            </w:r>
          </w:p>
        </w:tc>
        <w:tc>
          <w:tcPr>
            <w:tcW w:type="dxa" w:w="1930"/>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NT$0</w:t>
            </w:r>
          </w:p>
        </w:tc>
        <w:tc>
          <w:tcPr>
            <w:tcW w:type="dxa" w:w="1930"/>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NT$2,200</w:t>
            </w:r>
          </w:p>
        </w:tc>
        <w:tc>
          <w:tcPr>
            <w:tcW w:type="dxa" w:w="1930"/>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NT$4,400</w:t>
            </w:r>
          </w:p>
        </w:tc>
        <w:tc>
          <w:tcPr>
            <w:tcW w:type="dxa" w:w="1930"/>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NT$6,600</w:t>
            </w:r>
          </w:p>
        </w:tc>
      </w:tr>
      <w:tr>
        <w:tc>
          <w:tcPr>
            <w:tcW w:type="dxa" w:w="1930"/>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⑪ 每自提 NT$1 實際減少之可支配現金 (⑩ ÷ ②)</w:t>
            </w:r>
          </w:p>
        </w:tc>
        <w:tc>
          <w:tcPr>
            <w:tcW w:type="dxa" w:w="1930"/>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w:t>
            </w:r>
          </w:p>
        </w:tc>
        <w:tc>
          <w:tcPr>
            <w:tcW w:type="dxa" w:w="1930"/>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NT$0.88 元</w:t>
            </w:r>
          </w:p>
        </w:tc>
        <w:tc>
          <w:tcPr>
            <w:tcW w:type="dxa" w:w="1930"/>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NT$0.88 元</w:t>
            </w:r>
          </w:p>
        </w:tc>
        <w:tc>
          <w:tcPr>
            <w:tcW w:type="dxa" w:w="1930"/>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NT$0.88 元</w:t>
            </w:r>
          </w:p>
        </w:tc>
      </w:tr>
      <w:tr>
        <w:tc>
          <w:tcPr>
            <w:tcW w:type="dxa" w:w="1930"/>
            <w:shd w:fill="FDF2F4"/>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A51C30"/>
                <w:sz w:val="18"/>
              </w:rPr>
              <w:t>⑫ 總資金放大倍數 (帳戶入帳 ④ ÷ 個人實付 ⑩)</w:t>
            </w:r>
          </w:p>
        </w:tc>
        <w:tc>
          <w:tcPr>
            <w:tcW w:type="dxa" w:w="1930"/>
            <w:shd w:fill="FDF2F4"/>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center"/>
            </w:pPr>
            <w:r>
              <w:rPr>
                <w:rFonts w:ascii="Times New Roman" w:hAnsi="Times New Roman" w:eastAsia="微軟正黑體"/>
                <w:b/>
                <w:i w:val="0"/>
                <w:color w:val="A51C30"/>
                <w:sz w:val="18"/>
              </w:rPr>
              <w:t>—</w:t>
            </w:r>
          </w:p>
        </w:tc>
        <w:tc>
          <w:tcPr>
            <w:tcW w:type="dxa" w:w="1930"/>
            <w:shd w:fill="FDF2F4"/>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center"/>
            </w:pPr>
            <w:r>
              <w:rPr>
                <w:rFonts w:ascii="Times New Roman" w:hAnsi="Times New Roman" w:eastAsia="微軟正黑體"/>
                <w:b/>
                <w:i w:val="0"/>
                <w:color w:val="A51C30"/>
                <w:sz w:val="18"/>
              </w:rPr>
              <w:t>2.27 倍 ($5,000/$2,200)</w:t>
            </w:r>
          </w:p>
        </w:tc>
        <w:tc>
          <w:tcPr>
            <w:tcW w:type="dxa" w:w="1930"/>
            <w:shd w:fill="FDF2F4"/>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center"/>
            </w:pPr>
            <w:r>
              <w:rPr>
                <w:rFonts w:ascii="Times New Roman" w:hAnsi="Times New Roman" w:eastAsia="微軟正黑體"/>
                <w:b/>
                <w:i w:val="0"/>
                <w:color w:val="A51C30"/>
                <w:sz w:val="18"/>
              </w:rPr>
              <w:t>1.70 倍 ($7,500/$4,400)</w:t>
            </w:r>
          </w:p>
        </w:tc>
        <w:tc>
          <w:tcPr>
            <w:tcW w:type="dxa" w:w="1930"/>
            <w:shd w:fill="FDF2F4"/>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center"/>
            </w:pPr>
            <w:r>
              <w:rPr>
                <w:rFonts w:ascii="Times New Roman" w:hAnsi="Times New Roman" w:eastAsia="微軟正黑體"/>
                <w:b/>
                <w:i w:val="0"/>
                <w:color w:val="A51C30"/>
                <w:sz w:val="18"/>
              </w:rPr>
              <w:t>1.52 倍 ($10,000/$6,600)</w:t>
            </w:r>
          </w:p>
        </w:tc>
      </w:tr>
    </w:tbl>
    <w:p>
      <w:pPr>
        <w:spacing w:before="60" w:after="160"/>
      </w:pPr>
      <w:r>
        <w:rPr>
          <w:rFonts w:ascii="Times New Roman" w:hAnsi="Times New Roman" w:eastAsia="微軟正黑體"/>
          <w:b w:val="0"/>
          <w:i/>
          <w:color w:val="595959"/>
          <w:sz w:val="17"/>
        </w:rPr>
        <w:t>資料來源：個案作者依月薪 NT$50,000、台灣綜所稅邊際稅率 12.0%、雇主對等配比 1:1（上限 5%）模型精算。</w:t>
      </w:r>
    </w:p>
    <w:p>
      <w:pPr>
        <w:spacing w:before="0" w:after="120" w:line="331" w:lineRule="auto"/>
      </w:pPr>
      <w:r>
        <w:rPr>
          <w:rFonts w:ascii="Times New Roman" w:hAnsi="Times New Roman" w:eastAsia="微軟正黑體"/>
          <w:b/>
          <w:i w:val="0"/>
          <w:color w:val="1B365D"/>
          <w:sz w:val="21"/>
        </w:rPr>
        <w:t>🎯 問題四關鍵精算結論：</w:t>
      </w:r>
      <w:r>
        <w:rPr>
          <w:rFonts w:ascii="Times New Roman" w:hAnsi="Times New Roman" w:eastAsia="微軟正黑體"/>
          <w:b w:val="0"/>
          <w:i w:val="0"/>
          <w:color w:val="1E1E1E"/>
          <w:sz w:val="21"/>
        </w:rPr>
        <w:t>1. 每自提 NT$1.00 元，實際上只減少了 NT$0.88 元的可支配現金（因為 NT$0.12 元由財政部國稅局少收的綜合所得稅直接補貼）。</w:t>
        <w:br/>
        <w:t>2. 在【方案 B（自提 5%）】下，宥辰每個月退休帳戶裡多存入了整整 NT$5,000 元（每年 NT$60,000 元），但他每個月領到手的實拿薪水卻只從 NT$44,000 減少到 NT$41,800，僅僅少掉 NT$2,200 元！這 NT$5,000 元的出資結構為：宥辰自己真正掏出 NT$2,200（佔 44.0%）＋ 國稅局減稅補貼 NT$300（佔 6.0%）＋ 翔鷹航太免費贈送 NT$2,500（佔 50.0%）。</w:t>
      </w:r>
    </w:p>
    <w:p>
      <w:pPr>
        <w:keepNext/>
        <w:spacing w:before="320" w:after="120"/>
        <w:pBdr>
          <w:bottom w:val="single" w:sz="8" w:space="3" w:color="A51C30"/>
        </w:pBdr>
      </w:pPr>
      <w:r>
        <w:rPr>
          <w:rFonts w:ascii="Times New Roman" w:hAnsi="Times New Roman" w:eastAsia="微軟正黑體"/>
          <w:b/>
          <w:i w:val="0"/>
          <w:color w:val="A51C30"/>
          <w:sz w:val="26"/>
        </w:rPr>
        <w:t>問題五解析：43 年新台幣退休資產複利精算（按年／按月雙模型）與「拖延 10 年」代價</w:t>
      </w:r>
    </w:p>
    <w:p>
      <w:pPr>
        <w:spacing w:before="0" w:after="120" w:line="331" w:lineRule="auto"/>
      </w:pPr>
      <w:r>
        <w:rPr>
          <w:rFonts w:ascii="Times New Roman" w:hAnsi="Times New Roman" w:eastAsia="微軟正黑體"/>
          <w:b w:val="0"/>
          <w:i w:val="0"/>
          <w:color w:val="1E1E1E"/>
          <w:sz w:val="21"/>
        </w:rPr>
        <w:t>以下同時呈現「模型 A：按年複利基準模型（Annual Compounding, n = 43 年）」與「模型 B：按月複利實務模型（Monthly Compounding, N = 516 個月）」之新台幣終值精算矩陣（【解析附表 TN Exhibit D】），以及粉碎陳建宏「等 32 歲再開始存」之早晚鳥對決模型（【解析附表 TN Exhibit E】）：</w:t>
      </w:r>
    </w:p>
    <w:p>
      <w:pPr>
        <w:keepNext/>
        <w:spacing w:before="240" w:after="80"/>
      </w:pPr>
      <w:r>
        <w:rPr>
          <w:rFonts w:ascii="Times New Roman" w:hAnsi="Times New Roman" w:eastAsia="微軟正黑體"/>
          <w:b/>
          <w:i w:val="0"/>
          <w:color w:val="A51C30"/>
          <w:sz w:val="21"/>
        </w:rPr>
        <w:t xml:space="preserve">解析附表四（TN Exhibit D）　</w:t>
      </w:r>
      <w:r>
        <w:rPr>
          <w:rFonts w:ascii="Times New Roman" w:hAnsi="Times New Roman" w:eastAsia="微軟正黑體"/>
          <w:b/>
          <w:i w:val="0"/>
          <w:color w:val="1E1E1E"/>
          <w:sz w:val="21"/>
        </w:rPr>
        <w:t>43 年退休帳戶累積資產終值精算矩陣（新台幣 TWD）——模型 A（按年複利 n=43）vs. 模型 B（按月複利 N=516）</w:t>
      </w:r>
    </w:p>
    <w:tbl>
      <w:tblPr>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206"/>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提撥方案</w:t>
              <w:br/>
              <w:t>(個人自提+雇主配比)</w:t>
            </w:r>
          </w:p>
        </w:tc>
        <w:tc>
          <w:tcPr>
            <w:tcW w:type="dxa" w:w="1206"/>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每年總注入</w:t>
              <w:br/>
              <w:t>(每月總注入)</w:t>
            </w:r>
          </w:p>
        </w:tc>
        <w:tc>
          <w:tcPr>
            <w:tcW w:type="dxa" w:w="1206"/>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43年個人稅後</w:t>
              <w:br/>
              <w:t>實質自付總成本</w:t>
            </w:r>
          </w:p>
        </w:tc>
        <w:tc>
          <w:tcPr>
            <w:tcW w:type="dxa" w:w="1206"/>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43年名目總本金</w:t>
              <w:br/>
              <w:t>(個人+雇主)</w:t>
            </w:r>
          </w:p>
        </w:tc>
        <w:tc>
          <w:tcPr>
            <w:tcW w:type="dxa" w:w="1206"/>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【模型A 按年】</w:t>
              <w:br/>
              <w:t>r = 8.0% 終值</w:t>
            </w:r>
          </w:p>
        </w:tc>
        <w:tc>
          <w:tcPr>
            <w:tcW w:type="dxa" w:w="1206"/>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【模型A 按年】</w:t>
              <w:br/>
              <w:t>r = 10.0% 終值</w:t>
            </w:r>
          </w:p>
        </w:tc>
        <w:tc>
          <w:tcPr>
            <w:tcW w:type="dxa" w:w="1206"/>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【模型B 按月】</w:t>
              <w:br/>
              <w:t>r = 8.0% 終值</w:t>
            </w:r>
          </w:p>
        </w:tc>
        <w:tc>
          <w:tcPr>
            <w:tcW w:type="dxa" w:w="1206"/>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【模型B 按月】</w:t>
              <w:br/>
              <w:t>r = 10.0% 終值</w:t>
            </w:r>
          </w:p>
        </w:tc>
      </w:tr>
      <w:tr>
        <w:tc>
          <w:tcPr>
            <w:tcW w:type="dxa" w:w="120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方案 A：自提 0%</w:t>
              <w:br/>
              <w:t>(完全不參加)</w:t>
            </w:r>
          </w:p>
        </w:tc>
        <w:tc>
          <w:tcPr>
            <w:tcW w:type="dxa" w:w="120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NT$0 / 年</w:t>
              <w:br/>
              <w:t>(NT$0 / 月)</w:t>
            </w:r>
          </w:p>
        </w:tc>
        <w:tc>
          <w:tcPr>
            <w:tcW w:type="dxa" w:w="120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NT$0</w:t>
            </w:r>
          </w:p>
        </w:tc>
        <w:tc>
          <w:tcPr>
            <w:tcW w:type="dxa" w:w="120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NT$0</w:t>
            </w:r>
          </w:p>
        </w:tc>
        <w:tc>
          <w:tcPr>
            <w:tcW w:type="dxa" w:w="120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right"/>
            </w:pPr>
            <w:r>
              <w:rPr>
                <w:rFonts w:ascii="Times New Roman" w:hAnsi="Times New Roman" w:eastAsia="微軟正黑體"/>
                <w:b w:val="0"/>
                <w:i w:val="0"/>
                <w:color w:val="1E1E1E"/>
                <w:sz w:val="18"/>
              </w:rPr>
              <w:t>NT$0</w:t>
            </w:r>
          </w:p>
        </w:tc>
        <w:tc>
          <w:tcPr>
            <w:tcW w:type="dxa" w:w="120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right"/>
            </w:pPr>
            <w:r>
              <w:rPr>
                <w:rFonts w:ascii="Times New Roman" w:hAnsi="Times New Roman" w:eastAsia="微軟正黑體"/>
                <w:b w:val="0"/>
                <w:i w:val="0"/>
                <w:color w:val="1E1E1E"/>
                <w:sz w:val="18"/>
              </w:rPr>
              <w:t>NT$0</w:t>
            </w:r>
          </w:p>
        </w:tc>
        <w:tc>
          <w:tcPr>
            <w:tcW w:type="dxa" w:w="120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right"/>
            </w:pPr>
            <w:r>
              <w:rPr>
                <w:rFonts w:ascii="Times New Roman" w:hAnsi="Times New Roman" w:eastAsia="微軟正黑體"/>
                <w:b w:val="0"/>
                <w:i w:val="0"/>
                <w:color w:val="1E1E1E"/>
                <w:sz w:val="18"/>
              </w:rPr>
              <w:t>NT$0</w:t>
            </w:r>
          </w:p>
        </w:tc>
        <w:tc>
          <w:tcPr>
            <w:tcW w:type="dxa" w:w="120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right"/>
            </w:pPr>
            <w:r>
              <w:rPr>
                <w:rFonts w:ascii="Times New Roman" w:hAnsi="Times New Roman" w:eastAsia="微軟正黑體"/>
                <w:b w:val="0"/>
                <w:i w:val="0"/>
                <w:color w:val="1E1E1E"/>
                <w:sz w:val="18"/>
              </w:rPr>
              <w:t>NT$0</w:t>
            </w:r>
          </w:p>
        </w:tc>
      </w:tr>
      <w:tr>
        <w:tc>
          <w:tcPr>
            <w:tcW w:type="dxa" w:w="120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方案 B：自提 5% + 公司 5%</w:t>
              <w:br/>
              <w:t>(合計存入 10% 薪資)</w:t>
            </w:r>
          </w:p>
        </w:tc>
        <w:tc>
          <w:tcPr>
            <w:tcW w:type="dxa" w:w="120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NT$60,000 / 年</w:t>
              <w:br/>
              <w:t>(NT$5,000 / 月)</w:t>
            </w:r>
          </w:p>
        </w:tc>
        <w:tc>
          <w:tcPr>
            <w:tcW w:type="dxa" w:w="120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NT$1,135,200</w:t>
              <w:br/>
              <w:t>(約 113.5 萬)</w:t>
            </w:r>
          </w:p>
        </w:tc>
        <w:tc>
          <w:tcPr>
            <w:tcW w:type="dxa" w:w="120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NT$2,580,000</w:t>
              <w:br/>
              <w:t>(258.0 萬)</w:t>
            </w:r>
          </w:p>
        </w:tc>
        <w:tc>
          <w:tcPr>
            <w:tcW w:type="dxa" w:w="120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right"/>
            </w:pPr>
            <w:r>
              <w:rPr>
                <w:rFonts w:ascii="Times New Roman" w:hAnsi="Times New Roman" w:eastAsia="微軟正黑體"/>
                <w:b w:val="0"/>
                <w:i w:val="0"/>
                <w:color w:val="1E1E1E"/>
                <w:sz w:val="18"/>
              </w:rPr>
              <w:t>NT$19,774,980</w:t>
              <w:br/>
              <w:t>(約 1,977 萬)</w:t>
            </w:r>
          </w:p>
        </w:tc>
        <w:tc>
          <w:tcPr>
            <w:tcW w:type="dxa" w:w="120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right"/>
            </w:pPr>
            <w:r>
              <w:rPr>
                <w:rFonts w:ascii="Times New Roman" w:hAnsi="Times New Roman" w:eastAsia="微軟正黑體"/>
                <w:b w:val="0"/>
                <w:i w:val="0"/>
                <w:color w:val="1E1E1E"/>
                <w:sz w:val="18"/>
              </w:rPr>
              <w:t>NT$35,544,041</w:t>
              <w:br/>
              <w:t>(約 3,554 萬)</w:t>
            </w:r>
          </w:p>
        </w:tc>
        <w:tc>
          <w:tcPr>
            <w:tcW w:type="dxa" w:w="120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right"/>
            </w:pPr>
            <w:r>
              <w:rPr>
                <w:rFonts w:ascii="Times New Roman" w:hAnsi="Times New Roman" w:eastAsia="微軟正黑體"/>
                <w:b w:val="0"/>
                <w:i w:val="0"/>
                <w:color w:val="1E1E1E"/>
                <w:sz w:val="18"/>
              </w:rPr>
              <w:t>NT$22,374,715</w:t>
              <w:br/>
              <w:t>(約 2,237 萬)</w:t>
            </w:r>
          </w:p>
        </w:tc>
        <w:tc>
          <w:tcPr>
            <w:tcW w:type="dxa" w:w="120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right"/>
            </w:pPr>
            <w:r>
              <w:rPr>
                <w:rFonts w:ascii="Times New Roman" w:hAnsi="Times New Roman" w:eastAsia="微軟正黑體"/>
                <w:b w:val="0"/>
                <w:i w:val="0"/>
                <w:color w:val="1E1E1E"/>
                <w:sz w:val="18"/>
              </w:rPr>
              <w:t>NT$42,838,955</w:t>
              <w:br/>
              <w:t>(約 4,284 萬)</w:t>
            </w:r>
          </w:p>
        </w:tc>
      </w:tr>
      <w:tr>
        <w:tc>
          <w:tcPr>
            <w:tcW w:type="dxa" w:w="120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方案 C：自提 10% + 公司 5%</w:t>
              <w:br/>
              <w:t>(合計存入 15% 薪資)</w:t>
            </w:r>
          </w:p>
        </w:tc>
        <w:tc>
          <w:tcPr>
            <w:tcW w:type="dxa" w:w="120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NT$90,000 / 年</w:t>
              <w:br/>
              <w:t>(NT$7,500 / 月)</w:t>
            </w:r>
          </w:p>
        </w:tc>
        <w:tc>
          <w:tcPr>
            <w:tcW w:type="dxa" w:w="120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NT$2,270,400</w:t>
              <w:br/>
              <w:t>(約 227.0 萬)</w:t>
            </w:r>
          </w:p>
        </w:tc>
        <w:tc>
          <w:tcPr>
            <w:tcW w:type="dxa" w:w="120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NT$3,870,000</w:t>
              <w:br/>
              <w:t>(387.0 萬)</w:t>
            </w:r>
          </w:p>
        </w:tc>
        <w:tc>
          <w:tcPr>
            <w:tcW w:type="dxa" w:w="120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right"/>
            </w:pPr>
            <w:r>
              <w:rPr>
                <w:rFonts w:ascii="Times New Roman" w:hAnsi="Times New Roman" w:eastAsia="微軟正黑體"/>
                <w:b w:val="0"/>
                <w:i w:val="0"/>
                <w:color w:val="1E1E1E"/>
                <w:sz w:val="18"/>
              </w:rPr>
              <w:t>NT$29,662,470</w:t>
              <w:br/>
              <w:t>(約 2,966 萬)</w:t>
            </w:r>
          </w:p>
        </w:tc>
        <w:tc>
          <w:tcPr>
            <w:tcW w:type="dxa" w:w="120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right"/>
            </w:pPr>
            <w:r>
              <w:rPr>
                <w:rFonts w:ascii="Times New Roman" w:hAnsi="Times New Roman" w:eastAsia="微軟正黑體"/>
                <w:b w:val="0"/>
                <w:i w:val="0"/>
                <w:color w:val="1E1E1E"/>
                <w:sz w:val="18"/>
              </w:rPr>
              <w:t>NT$53,316,062</w:t>
              <w:br/>
              <w:t>(約 5,332 萬)</w:t>
            </w:r>
          </w:p>
        </w:tc>
        <w:tc>
          <w:tcPr>
            <w:tcW w:type="dxa" w:w="120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right"/>
            </w:pPr>
            <w:r>
              <w:rPr>
                <w:rFonts w:ascii="Times New Roman" w:hAnsi="Times New Roman" w:eastAsia="微軟正黑體"/>
                <w:b w:val="0"/>
                <w:i w:val="0"/>
                <w:color w:val="1E1E1E"/>
                <w:sz w:val="18"/>
              </w:rPr>
              <w:t>NT$33,562,073</w:t>
              <w:br/>
              <w:t>(約 3,356 萬)</w:t>
            </w:r>
          </w:p>
        </w:tc>
        <w:tc>
          <w:tcPr>
            <w:tcW w:type="dxa" w:w="120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right"/>
            </w:pPr>
            <w:r>
              <w:rPr>
                <w:rFonts w:ascii="Times New Roman" w:hAnsi="Times New Roman" w:eastAsia="微軟正黑體"/>
                <w:b w:val="0"/>
                <w:i w:val="0"/>
                <w:color w:val="1E1E1E"/>
                <w:sz w:val="18"/>
              </w:rPr>
              <w:t>NT$64,258,433</w:t>
              <w:br/>
              <w:t>(約 6,426 萬)</w:t>
            </w:r>
          </w:p>
        </w:tc>
      </w:tr>
      <w:tr>
        <w:tc>
          <w:tcPr>
            <w:tcW w:type="dxa" w:w="1206"/>
            <w:shd w:fill="FDF2F4"/>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A51C30"/>
                <w:sz w:val="18"/>
              </w:rPr>
              <w:t>方案 D：自提 15% + 公司 5%</w:t>
              <w:br/>
              <w:t>(合計存入 20% 薪資)</w:t>
            </w:r>
          </w:p>
        </w:tc>
        <w:tc>
          <w:tcPr>
            <w:tcW w:type="dxa" w:w="1206"/>
            <w:shd w:fill="FDF2F4"/>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center"/>
            </w:pPr>
            <w:r>
              <w:rPr>
                <w:rFonts w:ascii="Times New Roman" w:hAnsi="Times New Roman" w:eastAsia="微軟正黑體"/>
                <w:b/>
                <w:i w:val="0"/>
                <w:color w:val="A51C30"/>
                <w:sz w:val="18"/>
              </w:rPr>
              <w:t>NT$120,000 / 年</w:t>
              <w:br/>
              <w:t>(NT$10,000 / 月)</w:t>
            </w:r>
          </w:p>
        </w:tc>
        <w:tc>
          <w:tcPr>
            <w:tcW w:type="dxa" w:w="1206"/>
            <w:shd w:fill="FDF2F4"/>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center"/>
            </w:pPr>
            <w:r>
              <w:rPr>
                <w:rFonts w:ascii="Times New Roman" w:hAnsi="Times New Roman" w:eastAsia="微軟正黑體"/>
                <w:b/>
                <w:i w:val="0"/>
                <w:color w:val="A51C30"/>
                <w:sz w:val="18"/>
              </w:rPr>
              <w:t>NT$3,405,600</w:t>
              <w:br/>
              <w:t>(約 340.6 萬)</w:t>
            </w:r>
          </w:p>
        </w:tc>
        <w:tc>
          <w:tcPr>
            <w:tcW w:type="dxa" w:w="1206"/>
            <w:shd w:fill="FDF2F4"/>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center"/>
            </w:pPr>
            <w:r>
              <w:rPr>
                <w:rFonts w:ascii="Times New Roman" w:hAnsi="Times New Roman" w:eastAsia="微軟正黑體"/>
                <w:b/>
                <w:i w:val="0"/>
                <w:color w:val="A51C30"/>
                <w:sz w:val="18"/>
              </w:rPr>
              <w:t>NT$5,160,000</w:t>
              <w:br/>
              <w:t>(516.0 萬)</w:t>
            </w:r>
          </w:p>
        </w:tc>
        <w:tc>
          <w:tcPr>
            <w:tcW w:type="dxa" w:w="1206"/>
            <w:shd w:fill="FDF2F4"/>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right"/>
            </w:pPr>
            <w:r>
              <w:rPr>
                <w:rFonts w:ascii="Times New Roman" w:hAnsi="Times New Roman" w:eastAsia="微軟正黑體"/>
                <w:b/>
                <w:i w:val="0"/>
                <w:color w:val="A51C30"/>
                <w:sz w:val="18"/>
              </w:rPr>
              <w:t>NT$39,549,961</w:t>
              <w:br/>
              <w:t>(約 3,955 萬)</w:t>
            </w:r>
          </w:p>
        </w:tc>
        <w:tc>
          <w:tcPr>
            <w:tcW w:type="dxa" w:w="1206"/>
            <w:shd w:fill="FDF2F4"/>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right"/>
            </w:pPr>
            <w:r>
              <w:rPr>
                <w:rFonts w:ascii="Times New Roman" w:hAnsi="Times New Roman" w:eastAsia="微軟正黑體"/>
                <w:b/>
                <w:i w:val="0"/>
                <w:color w:val="A51C30"/>
                <w:sz w:val="18"/>
              </w:rPr>
              <w:t>NT$71,088,083</w:t>
              <w:br/>
              <w:t>(約 7,109 萬)</w:t>
            </w:r>
          </w:p>
        </w:tc>
        <w:tc>
          <w:tcPr>
            <w:tcW w:type="dxa" w:w="1206"/>
            <w:shd w:fill="FDF2F4"/>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right"/>
            </w:pPr>
            <w:r>
              <w:rPr>
                <w:rFonts w:ascii="Times New Roman" w:hAnsi="Times New Roman" w:eastAsia="微軟正黑體"/>
                <w:b/>
                <w:i w:val="0"/>
                <w:color w:val="A51C30"/>
                <w:sz w:val="18"/>
              </w:rPr>
              <w:t>NT$44,749,431</w:t>
              <w:br/>
              <w:t>(約 4,475 萬)</w:t>
            </w:r>
          </w:p>
        </w:tc>
        <w:tc>
          <w:tcPr>
            <w:tcW w:type="dxa" w:w="1206"/>
            <w:shd w:fill="FDF2F4"/>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right"/>
            </w:pPr>
            <w:r>
              <w:rPr>
                <w:rFonts w:ascii="Times New Roman" w:hAnsi="Times New Roman" w:eastAsia="微軟正黑體"/>
                <w:b/>
                <w:i w:val="0"/>
                <w:color w:val="A51C30"/>
                <w:sz w:val="18"/>
              </w:rPr>
              <w:t>NT$85,677,911</w:t>
              <w:br/>
              <w:t>(約 8,568 萬)</w:t>
            </w:r>
          </w:p>
        </w:tc>
      </w:tr>
    </w:tbl>
    <w:p>
      <w:pPr>
        <w:spacing w:before="60" w:after="160"/>
      </w:pPr>
      <w:r>
        <w:rPr>
          <w:rFonts w:ascii="Times New Roman" w:hAnsi="Times New Roman" w:eastAsia="微軟正黑體"/>
          <w:b w:val="0"/>
          <w:i/>
          <w:color w:val="595959"/>
          <w:sz w:val="17"/>
        </w:rPr>
        <w:t>資料來源：個案作者依普通年金終值公式精算（43 年個人稅後實質自付總成本 = 每月實拿減少額 × 516 個月）。</w:t>
      </w:r>
    </w:p>
    <w:p>
      <w:pPr>
        <w:keepNext/>
        <w:spacing w:before="240" w:after="80"/>
      </w:pPr>
      <w:r>
        <w:rPr>
          <w:rFonts w:ascii="Times New Roman" w:hAnsi="Times New Roman" w:eastAsia="微軟正黑體"/>
          <w:b/>
          <w:i w:val="0"/>
          <w:color w:val="A51C30"/>
          <w:sz w:val="21"/>
        </w:rPr>
        <w:t xml:space="preserve">解析附表五（TN Exhibit E）　</w:t>
      </w:r>
      <w:r>
        <w:rPr>
          <w:rFonts w:ascii="Times New Roman" w:hAnsi="Times New Roman" w:eastAsia="微軟正黑體"/>
          <w:b/>
          <w:i w:val="0"/>
          <w:color w:val="1E1E1E"/>
          <w:sz w:val="21"/>
        </w:rPr>
        <w:t>延遲 10 年儲蓄之機會成本精算表（新台幣 TWD）——早鳥停扣組（10年）vs. 晚鳥苦追組（33年）vs. 全程組（43年）</w:t>
      </w:r>
    </w:p>
    <w:tbl>
      <w:tblPr>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儲蓄行為軌跡組別</w:t>
              <w:br/>
              <w:t>(以方案 B 每年存入 6 萬為基準)</w:t>
            </w:r>
          </w:p>
        </w:tc>
        <w:tc>
          <w:tcPr>
            <w:tcW w:type="dxa" w:w="1378"/>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提撥年齡區間</w:t>
              <w:br/>
              <w:t>與總提撥年數</w:t>
            </w:r>
          </w:p>
        </w:tc>
        <w:tc>
          <w:tcPr>
            <w:tcW w:type="dxa" w:w="1378"/>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個人稅後實質</w:t>
              <w:br/>
              <w:t>自掏腰包總成本</w:t>
            </w:r>
          </w:p>
        </w:tc>
        <w:tc>
          <w:tcPr>
            <w:tcW w:type="dxa" w:w="1378"/>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名目累積總本金</w:t>
              <w:br/>
              <w:t>(個人+雇主配比)</w:t>
            </w:r>
          </w:p>
        </w:tc>
        <w:tc>
          <w:tcPr>
            <w:tcW w:type="dxa" w:w="1378"/>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32 歲時帳戶</w:t>
              <w:br/>
              <w:t>累積餘額 (r=10%)</w:t>
            </w:r>
          </w:p>
        </w:tc>
        <w:tc>
          <w:tcPr>
            <w:tcW w:type="dxa" w:w="1378"/>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65 歲退休帳戶終值</w:t>
              <w:br/>
              <w:t>(r = 8.0% 按年)</w:t>
            </w:r>
          </w:p>
        </w:tc>
        <w:tc>
          <w:tcPr>
            <w:tcW w:type="dxa" w:w="1378"/>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65 歲退休帳戶終值</w:t>
              <w:br/>
              <w:t>(r = 10.0% 按年)</w:t>
            </w:r>
          </w:p>
        </w:tc>
      </w:tr>
      <w:tr>
        <w:tc>
          <w:tcPr>
            <w:tcW w:type="dxa" w:w="1378"/>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① 早鳥停扣組 (林宥辰前10年)</w:t>
              <w:br/>
              <w:t>22~32歲存10年，後33年停扣滾存</w:t>
            </w:r>
          </w:p>
        </w:tc>
        <w:tc>
          <w:tcPr>
            <w:tcW w:type="dxa" w:w="1378"/>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22～32 歲 (僅存 10 年)</w:t>
              <w:br/>
              <w:t>32～65 歲停扣滾存 33 年</w:t>
            </w:r>
          </w:p>
        </w:tc>
        <w:tc>
          <w:tcPr>
            <w:tcW w:type="dxa" w:w="1378"/>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NT$264,000</w:t>
              <w:br/>
              <w:t>(2.64 萬 × 10年)</w:t>
            </w:r>
          </w:p>
        </w:tc>
        <w:tc>
          <w:tcPr>
            <w:tcW w:type="dxa" w:w="1378"/>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NT$600,000</w:t>
              <w:br/>
              <w:t>(6.0 萬 × 10年)</w:t>
            </w:r>
          </w:p>
        </w:tc>
        <w:tc>
          <w:tcPr>
            <w:tcW w:type="dxa" w:w="1378"/>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right"/>
            </w:pPr>
            <w:r>
              <w:rPr>
                <w:rFonts w:ascii="Times New Roman" w:hAnsi="Times New Roman" w:eastAsia="微軟正黑體"/>
                <w:b w:val="0"/>
                <w:i w:val="0"/>
                <w:color w:val="1E1E1E"/>
                <w:sz w:val="18"/>
              </w:rPr>
              <w:t>NT$956,245</w:t>
            </w:r>
          </w:p>
        </w:tc>
        <w:tc>
          <w:tcPr>
            <w:tcW w:type="dxa" w:w="1378"/>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right"/>
            </w:pPr>
            <w:r>
              <w:rPr>
                <w:rFonts w:ascii="Times New Roman" w:hAnsi="Times New Roman" w:eastAsia="微軟正黑體"/>
                <w:b w:val="0"/>
                <w:i w:val="0"/>
                <w:color w:val="1E1E1E"/>
                <w:sz w:val="18"/>
              </w:rPr>
              <w:t>NT$11,017,943</w:t>
              <w:br/>
              <w:t>(約 1,102 萬)</w:t>
            </w:r>
          </w:p>
        </w:tc>
        <w:tc>
          <w:tcPr>
            <w:tcW w:type="dxa" w:w="1378"/>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right"/>
            </w:pPr>
            <w:r>
              <w:rPr>
                <w:rFonts w:ascii="Times New Roman" w:hAnsi="Times New Roman" w:eastAsia="微軟正黑體"/>
                <w:b w:val="0"/>
                <w:i w:val="0"/>
                <w:color w:val="1E1E1E"/>
                <w:sz w:val="18"/>
              </w:rPr>
              <w:t>NT$22,208,949</w:t>
              <w:br/>
              <w:t>(約 2,221 萬)</w:t>
            </w:r>
          </w:p>
        </w:tc>
      </w:tr>
      <w:tr>
        <w:tc>
          <w:tcPr>
            <w:tcW w:type="dxa" w:w="1378"/>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② 晚鳥苦追組 (陳建宏後33年)</w:t>
              <w:br/>
              <w:t>22~32歲不存，32~65歲連存33年</w:t>
            </w:r>
          </w:p>
        </w:tc>
        <w:tc>
          <w:tcPr>
            <w:tcW w:type="dxa" w:w="1378"/>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22～32 歲 (NT$0)</w:t>
              <w:br/>
              <w:t>32～65 歲 (連存 33 年)</w:t>
            </w:r>
          </w:p>
        </w:tc>
        <w:tc>
          <w:tcPr>
            <w:tcW w:type="dxa" w:w="1378"/>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NT$871,200</w:t>
              <w:br/>
              <w:t>(2.64 萬 × 33年)</w:t>
            </w:r>
          </w:p>
        </w:tc>
        <w:tc>
          <w:tcPr>
            <w:tcW w:type="dxa" w:w="1378"/>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NT$1,980,000</w:t>
              <w:br/>
              <w:t>(6.0 萬 × 33年)</w:t>
            </w:r>
          </w:p>
        </w:tc>
        <w:tc>
          <w:tcPr>
            <w:tcW w:type="dxa" w:w="1378"/>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right"/>
            </w:pPr>
            <w:r>
              <w:rPr>
                <w:rFonts w:ascii="Times New Roman" w:hAnsi="Times New Roman" w:eastAsia="微軟正黑體"/>
                <w:b w:val="0"/>
                <w:i w:val="0"/>
                <w:color w:val="1E1E1E"/>
                <w:sz w:val="18"/>
              </w:rPr>
              <w:t>NT$0</w:t>
            </w:r>
          </w:p>
        </w:tc>
        <w:tc>
          <w:tcPr>
            <w:tcW w:type="dxa" w:w="1378"/>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right"/>
            </w:pPr>
            <w:r>
              <w:rPr>
                <w:rFonts w:ascii="Times New Roman" w:hAnsi="Times New Roman" w:eastAsia="微軟正黑體"/>
                <w:b w:val="0"/>
                <w:i w:val="0"/>
                <w:color w:val="1E1E1E"/>
                <w:sz w:val="18"/>
              </w:rPr>
              <w:t>NT$8,757,037</w:t>
              <w:br/>
              <w:t>(約 876 萬)</w:t>
            </w:r>
          </w:p>
        </w:tc>
        <w:tc>
          <w:tcPr>
            <w:tcW w:type="dxa" w:w="1378"/>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right"/>
            </w:pPr>
            <w:r>
              <w:rPr>
                <w:rFonts w:ascii="Times New Roman" w:hAnsi="Times New Roman" w:eastAsia="微軟正黑體"/>
                <w:b w:val="0"/>
                <w:i w:val="0"/>
                <w:color w:val="1E1E1E"/>
                <w:sz w:val="18"/>
              </w:rPr>
              <w:t>NT$13,335,093</w:t>
              <w:br/>
              <w:t>(約 1,334 萬)</w:t>
            </w:r>
          </w:p>
        </w:tc>
      </w:tr>
      <w:tr>
        <w:tc>
          <w:tcPr>
            <w:tcW w:type="dxa" w:w="1378"/>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③ 全程紀律組 (Continuous)</w:t>
              <w:br/>
              <w:t>22~65歲全程連續提撥 43 年</w:t>
            </w:r>
          </w:p>
        </w:tc>
        <w:tc>
          <w:tcPr>
            <w:tcW w:type="dxa" w:w="1378"/>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22～65 歲</w:t>
              <w:br/>
              <w:t>(全程連存 43 年)</w:t>
            </w:r>
          </w:p>
        </w:tc>
        <w:tc>
          <w:tcPr>
            <w:tcW w:type="dxa" w:w="1378"/>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NT$1,135,200</w:t>
              <w:br/>
              <w:t>(2.64 萬 × 43年)</w:t>
            </w:r>
          </w:p>
        </w:tc>
        <w:tc>
          <w:tcPr>
            <w:tcW w:type="dxa" w:w="1378"/>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NT$2,580,000</w:t>
              <w:br/>
              <w:t>(6.0 萬 × 43年)</w:t>
            </w:r>
          </w:p>
        </w:tc>
        <w:tc>
          <w:tcPr>
            <w:tcW w:type="dxa" w:w="1378"/>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right"/>
            </w:pPr>
            <w:r>
              <w:rPr>
                <w:rFonts w:ascii="Times New Roman" w:hAnsi="Times New Roman" w:eastAsia="微軟正黑體"/>
                <w:b w:val="0"/>
                <w:i w:val="0"/>
                <w:color w:val="1E1E1E"/>
                <w:sz w:val="18"/>
              </w:rPr>
              <w:t>NT$956,245</w:t>
            </w:r>
          </w:p>
        </w:tc>
        <w:tc>
          <w:tcPr>
            <w:tcW w:type="dxa" w:w="1378"/>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right"/>
            </w:pPr>
            <w:r>
              <w:rPr>
                <w:rFonts w:ascii="Times New Roman" w:hAnsi="Times New Roman" w:eastAsia="微軟正黑體"/>
                <w:b w:val="0"/>
                <w:i w:val="0"/>
                <w:color w:val="1E1E1E"/>
                <w:sz w:val="18"/>
              </w:rPr>
              <w:t>NT$19,774,980</w:t>
              <w:br/>
              <w:t>(約 1,977 萬)</w:t>
            </w:r>
          </w:p>
        </w:tc>
        <w:tc>
          <w:tcPr>
            <w:tcW w:type="dxa" w:w="1378"/>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right"/>
            </w:pPr>
            <w:r>
              <w:rPr>
                <w:rFonts w:ascii="Times New Roman" w:hAnsi="Times New Roman" w:eastAsia="微軟正黑體"/>
                <w:b w:val="0"/>
                <w:i w:val="0"/>
                <w:color w:val="1E1E1E"/>
                <w:sz w:val="18"/>
              </w:rPr>
              <w:t>NT$35,544,041</w:t>
              <w:br/>
              <w:t>(約 3,554 萬)</w:t>
            </w:r>
          </w:p>
        </w:tc>
      </w:tr>
      <w:tr>
        <w:tc>
          <w:tcPr>
            <w:tcW w:type="dxa" w:w="1378"/>
            <w:shd w:fill="FDF2F4"/>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A51C30"/>
                <w:sz w:val="18"/>
              </w:rPr>
              <w:t>【晚 10 年起步之淨財富損失】</w:t>
              <w:br/>
              <w:t>(晚鳥組 ② - 全程組 ③)</w:t>
            </w:r>
          </w:p>
        </w:tc>
        <w:tc>
          <w:tcPr>
            <w:tcW w:type="dxa" w:w="1378"/>
            <w:shd w:fill="FDF2F4"/>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center"/>
            </w:pPr>
            <w:r>
              <w:rPr>
                <w:rFonts w:ascii="Times New Roman" w:hAnsi="Times New Roman" w:eastAsia="微軟正黑體"/>
                <w:b/>
                <w:i w:val="0"/>
                <w:color w:val="A51C30"/>
                <w:sz w:val="18"/>
              </w:rPr>
              <w:t>錯失黃金前 10 年</w:t>
              <w:br/>
              <w:t>(少存 60 萬名目本金)</w:t>
            </w:r>
          </w:p>
        </w:tc>
        <w:tc>
          <w:tcPr>
            <w:tcW w:type="dxa" w:w="1378"/>
            <w:shd w:fill="FDF2F4"/>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center"/>
            </w:pPr>
            <w:r>
              <w:rPr>
                <w:rFonts w:ascii="Times New Roman" w:hAnsi="Times New Roman" w:eastAsia="微軟正黑體"/>
                <w:b/>
                <w:i w:val="0"/>
                <w:color w:val="A51C30"/>
                <w:sz w:val="18"/>
              </w:rPr>
              <w:t>前 10 年僅省下</w:t>
              <w:br/>
              <w:t>26.4 萬稅後現金</w:t>
            </w:r>
          </w:p>
        </w:tc>
        <w:tc>
          <w:tcPr>
            <w:tcW w:type="dxa" w:w="1378"/>
            <w:shd w:fill="FDF2F4"/>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center"/>
            </w:pPr>
            <w:r>
              <w:rPr>
                <w:rFonts w:ascii="Times New Roman" w:hAnsi="Times New Roman" w:eastAsia="微軟正黑體"/>
                <w:b/>
                <w:i w:val="0"/>
                <w:color w:val="A51C30"/>
                <w:sz w:val="18"/>
              </w:rPr>
              <w:t>少投入 60 萬元</w:t>
              <w:br/>
              <w:t>名目本金</w:t>
            </w:r>
          </w:p>
        </w:tc>
        <w:tc>
          <w:tcPr>
            <w:tcW w:type="dxa" w:w="1378"/>
            <w:shd w:fill="FDF2F4"/>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right"/>
            </w:pPr>
            <w:r>
              <w:rPr>
                <w:rFonts w:ascii="Times New Roman" w:hAnsi="Times New Roman" w:eastAsia="微軟正黑體"/>
                <w:b/>
                <w:i w:val="0"/>
                <w:color w:val="A51C30"/>
                <w:sz w:val="18"/>
              </w:rPr>
              <w:t>32 歲時落後</w:t>
              <w:br/>
              <w:t>-NT$956,245</w:t>
            </w:r>
          </w:p>
        </w:tc>
        <w:tc>
          <w:tcPr>
            <w:tcW w:type="dxa" w:w="1378"/>
            <w:shd w:fill="FDF2F4"/>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right"/>
            </w:pPr>
            <w:r>
              <w:rPr>
                <w:rFonts w:ascii="Times New Roman" w:hAnsi="Times New Roman" w:eastAsia="微軟正黑體"/>
                <w:b/>
                <w:i w:val="0"/>
                <w:color w:val="A51C30"/>
                <w:sz w:val="18"/>
              </w:rPr>
              <w:t>退休少領</w:t>
              <w:br/>
              <w:t>-NT$11,017,943</w:t>
            </w:r>
          </w:p>
        </w:tc>
        <w:tc>
          <w:tcPr>
            <w:tcW w:type="dxa" w:w="1378"/>
            <w:shd w:fill="FDF2F4"/>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right"/>
            </w:pPr>
            <w:r>
              <w:rPr>
                <w:rFonts w:ascii="Times New Roman" w:hAnsi="Times New Roman" w:eastAsia="微軟正黑體"/>
                <w:b/>
                <w:i w:val="0"/>
                <w:color w:val="A51C30"/>
                <w:sz w:val="18"/>
              </w:rPr>
              <w:t>退休少領</w:t>
              <w:br/>
              <w:t>-NT$22,208,949</w:t>
            </w:r>
          </w:p>
        </w:tc>
      </w:tr>
    </w:tbl>
    <w:p>
      <w:pPr>
        <w:spacing w:before="60" w:after="160"/>
      </w:pPr>
      <w:r>
        <w:rPr>
          <w:rFonts w:ascii="Times New Roman" w:hAnsi="Times New Roman" w:eastAsia="微軟正黑體"/>
          <w:b w:val="0"/>
          <w:i/>
          <w:color w:val="595959"/>
          <w:sz w:val="17"/>
        </w:rPr>
        <w:t>資料來源：個案作者依 TVM 兩階段複利模型精算（全程組 3,554.4 萬 = 早鳥前 10 年貢獻之 2,220.9 萬 + 晚鳥後 33 年貢獻之 1,333.5 萬）。</w:t>
      </w:r>
    </w:p>
    <w:p>
      <w:pPr>
        <w:keepNext/>
        <w:spacing w:before="320" w:after="120"/>
        <w:pBdr>
          <w:bottom w:val="single" w:sz="8" w:space="3" w:color="A51C30"/>
        </w:pBdr>
      </w:pPr>
      <w:r>
        <w:rPr>
          <w:rFonts w:ascii="Times New Roman" w:hAnsi="Times New Roman" w:eastAsia="微軟正黑體"/>
          <w:b/>
          <w:i w:val="0"/>
          <w:color w:val="A51C30"/>
          <w:sz w:val="26"/>
        </w:rPr>
        <w:t>問題六解析：全方位動態提撥策略與台幣 ETF 生命週期資產配置藍圖</w:t>
      </w:r>
    </w:p>
    <w:p>
      <w:pPr>
        <w:spacing w:before="0" w:after="120" w:line="331" w:lineRule="auto"/>
      </w:pPr>
      <w:r>
        <w:rPr>
          <w:rFonts w:ascii="Times New Roman" w:hAnsi="Times New Roman" w:eastAsia="微軟正黑體"/>
          <w:b w:val="0"/>
          <w:i w:val="0"/>
          <w:color w:val="1E1E1E"/>
          <w:sz w:val="21"/>
        </w:rPr>
        <w:t>綜合林宥辰 22 歲的超長投資視野、月薪 NT$50,000 元之現金流約束、現代投資組合理論（MPT）與行為財務學之制度設計，為宥辰擬定三階段行動方案（詳見【解析附表 TN Exhibit F】）：</w:t>
      </w:r>
    </w:p>
    <w:p>
      <w:pPr>
        <w:spacing w:before="0" w:after="120" w:line="331" w:lineRule="auto"/>
      </w:pPr>
      <w:r>
        <w:rPr>
          <w:rFonts w:ascii="Times New Roman" w:hAnsi="Times New Roman" w:eastAsia="微軟正黑體"/>
          <w:b/>
          <w:i w:val="0"/>
          <w:color w:val="1B365D"/>
          <w:sz w:val="21"/>
        </w:rPr>
        <w:t>1. 動態提撥比例決策（首年 5% 保底 ＋ SMarT 自動遞增至 15%）：</w:t>
      </w:r>
      <w:r>
        <w:rPr>
          <w:rFonts w:ascii="Times New Roman" w:hAnsi="Times New Roman" w:eastAsia="微軟正黑體"/>
          <w:b w:val="0"/>
          <w:i w:val="0"/>
          <w:color w:val="1E1E1E"/>
          <w:sz w:val="21"/>
        </w:rPr>
        <w:t>• 入職第 1 年（22 歲）：立即設定自提比例為 5.0%（每月稅前自提 NT$2,500，實拿薪資僅減少 NT$2,200），100% 吃滿翔鷹航太提供的 5% 對等提撥獎勵金（每月合計存入 NT$5,000），同時保留 NT$41,800 的充裕實拿月薪應付台中房租與學貸。</w:t>
        <w:br/>
        <w:t>• 入職第 2 年起（啟動 Save More Tomorrow 自動遞增機制）：預先設定未來每年隨績效考核調薪時，自動將個人自提比例上調 2.0%，於 27 歲時無痛達成 15% 頂格自提（加計雇主 5% 合計總儲蓄率達 20%）。</w:t>
      </w:r>
    </w:p>
    <w:p>
      <w:pPr>
        <w:spacing w:before="0" w:after="120" w:line="331" w:lineRule="auto"/>
      </w:pPr>
      <w:r>
        <w:rPr>
          <w:rFonts w:ascii="Times New Roman" w:hAnsi="Times New Roman" w:eastAsia="微軟正黑體"/>
          <w:b/>
          <w:i w:val="0"/>
          <w:color w:val="1B365D"/>
          <w:sz w:val="21"/>
        </w:rPr>
        <w:t>2. 22 歲初始台幣 ETF 投資組合配置（積極成長型，預期年化報酬率 E(R_p) = 10.38%）：</w:t>
      </w:r>
      <w:r>
        <w:rPr>
          <w:rFonts w:ascii="Times New Roman" w:hAnsi="Times New Roman" w:eastAsia="微軟正黑體"/>
          <w:b w:val="0"/>
          <w:i w:val="0"/>
          <w:color w:val="1E1E1E"/>
          <w:sz w:val="21"/>
        </w:rPr>
        <w:t>將 90% 資金配置於高預期報酬之台股公開 ETF（65% 元大台灣 50 + 25% 富邦台灣中小動能），5% 配置於元大投資級債券基金作為再平衡緩衝，並將翔鷹航太未上市內部股票嚴格限制於 5% 上限內。此初始投資組合之加權平均預期年化報酬率為：E(R_p) = (65% × 10.0%) + (25% × 12.5%) + (5% × 5.0%) + (5% × 10.0%) = 10.375%（約 10.38% / 年）。</w:t>
      </w:r>
    </w:p>
    <w:p>
      <w:pPr>
        <w:keepNext/>
        <w:spacing w:before="240" w:after="80"/>
      </w:pPr>
      <w:r>
        <w:rPr>
          <w:rFonts w:ascii="Times New Roman" w:hAnsi="Times New Roman" w:eastAsia="微軟正黑體"/>
          <w:b/>
          <w:i w:val="0"/>
          <w:color w:val="A51C30"/>
          <w:sz w:val="21"/>
        </w:rPr>
        <w:t xml:space="preserve">解析附表六（TN Exhibit F）　</w:t>
      </w:r>
      <w:r>
        <w:rPr>
          <w:rFonts w:ascii="Times New Roman" w:hAnsi="Times New Roman" w:eastAsia="微軟正黑體"/>
          <w:b/>
          <w:i w:val="0"/>
          <w:color w:val="1E1E1E"/>
          <w:sz w:val="21"/>
        </w:rPr>
        <w:t>林宥辰（Yu-Chen Lin）22 歲初始台幣 ETF 組合權重與 43 年生命週期動態滑降路徑表（Glide Path）</w:t>
      </w:r>
    </w:p>
    <w:tbl>
      <w:tblPr>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206"/>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職涯生命週期階段</w:t>
              <w:br/>
              <w:t>與年齡區間</w:t>
            </w:r>
          </w:p>
        </w:tc>
        <w:tc>
          <w:tcPr>
            <w:tcW w:type="dxa" w:w="1206"/>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元大台灣 50</w:t>
              <w:br/>
              <w:t>(0050, E(R)=10%)</w:t>
            </w:r>
          </w:p>
        </w:tc>
        <w:tc>
          <w:tcPr>
            <w:tcW w:type="dxa" w:w="1206"/>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富邦台灣中小</w:t>
              <w:br/>
              <w:t>(00733, E(R)=12.5%)</w:t>
            </w:r>
          </w:p>
        </w:tc>
        <w:tc>
          <w:tcPr>
            <w:tcW w:type="dxa" w:w="1206"/>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元大投資級債</w:t>
              <w:br/>
              <w:t>(00679B, E(R)=5%)</w:t>
            </w:r>
          </w:p>
        </w:tc>
        <w:tc>
          <w:tcPr>
            <w:tcW w:type="dxa" w:w="1206"/>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台幣貨幣市場</w:t>
              <w:br/>
              <w:t>(E(R)=2.5%)</w:t>
            </w:r>
          </w:p>
        </w:tc>
        <w:tc>
          <w:tcPr>
            <w:tcW w:type="dxa" w:w="1206"/>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翔鷹內部股票</w:t>
              <w:br/>
              <w:t>(保守估 10.0%)</w:t>
            </w:r>
          </w:p>
        </w:tc>
        <w:tc>
          <w:tcPr>
            <w:tcW w:type="dxa" w:w="1206"/>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組合預期年化</w:t>
              <w:br/>
              <w:t>報酬率 E(R_p)</w:t>
            </w:r>
          </w:p>
        </w:tc>
        <w:tc>
          <w:tcPr>
            <w:tcW w:type="dxa" w:w="1206"/>
            <w:shd w:fill="1B365D"/>
            <w:tcMar>
              <w:top w:w="90" w:type="dxa"/>
              <w:bottom w:w="90" w:type="dxa"/>
              <w:left w:w="90" w:type="dxa"/>
              <w:right w:w="90" w:type="dxa"/>
            </w:tcMar>
            <w:tcBorders>
              <w:top w:val="single" w:sz="12" w:space="0" w:color="A51C30"/>
              <w:bottom w:val="single" w:sz="8" w:space="0" w:color="1B365D"/>
              <w:left w:val="none" w:sz="0" w:space="0" w:color="auto"/>
              <w:right w:val="none" w:sz="0" w:space="0" w:color="auto"/>
            </w:tcBorders>
          </w:tcPr>
          <w:p>
            <w:pPr>
              <w:spacing w:before="0" w:after="0"/>
              <w:jc w:val="center"/>
            </w:pPr>
            <w:r>
              <w:rPr>
                <w:rFonts w:ascii="Times New Roman" w:hAnsi="Times New Roman" w:eastAsia="微軟正黑體"/>
                <w:b/>
                <w:i w:val="0"/>
                <w:color w:val="FFFFFF"/>
                <w:sz w:val="18"/>
              </w:rPr>
              <w:t>階段核心財務目標與動態再平衡紀律</w:t>
            </w:r>
          </w:p>
        </w:tc>
      </w:tr>
      <w:tr>
        <w:tc>
          <w:tcPr>
            <w:tcW w:type="dxa" w:w="120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階段一：積極財富累積期</w:t>
              <w:br/>
              <w:t>22 ～ 35 歲 (距退休 30~43年)</w:t>
            </w:r>
          </w:p>
        </w:tc>
        <w:tc>
          <w:tcPr>
            <w:tcW w:type="dxa" w:w="120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65.0%</w:t>
              <w:br/>
              <w:t>(核心基石)</w:t>
            </w:r>
          </w:p>
        </w:tc>
        <w:tc>
          <w:tcPr>
            <w:tcW w:type="dxa" w:w="120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25.0%</w:t>
              <w:br/>
              <w:t>(成長引擎)</w:t>
            </w:r>
          </w:p>
        </w:tc>
        <w:tc>
          <w:tcPr>
            <w:tcW w:type="dxa" w:w="120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5.0%</w:t>
              <w:br/>
              <w:t>(再平衡錨)</w:t>
            </w:r>
          </w:p>
        </w:tc>
        <w:tc>
          <w:tcPr>
            <w:tcW w:type="dxa" w:w="120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0.0%</w:t>
              <w:br/>
              <w:t>(不配置)</w:t>
            </w:r>
          </w:p>
        </w:tc>
        <w:tc>
          <w:tcPr>
            <w:tcW w:type="dxa" w:w="120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5.0%</w:t>
              <w:br/>
              <w:t>(上限封頂)</w:t>
            </w:r>
          </w:p>
        </w:tc>
        <w:tc>
          <w:tcPr>
            <w:tcW w:type="dxa" w:w="120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10.38%</w:t>
            </w:r>
          </w:p>
        </w:tc>
        <w:tc>
          <w:tcPr>
            <w:tcW w:type="dxa" w:w="120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90%+ 台股 ETF 最大化長線複利；若第 4 年翔鷹成功上市 IPO，立即將 5% 內部股獲利了結轉入 0050。</w:t>
            </w:r>
          </w:p>
        </w:tc>
      </w:tr>
      <w:tr>
        <w:tc>
          <w:tcPr>
            <w:tcW w:type="dxa" w:w="120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階段二：穩健成長鞏固期</w:t>
              <w:br/>
              <w:t>36 ～ 50 歲 (距退休 15~29年)</w:t>
            </w:r>
          </w:p>
        </w:tc>
        <w:tc>
          <w:tcPr>
            <w:tcW w:type="dxa" w:w="120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60.0%</w:t>
            </w:r>
          </w:p>
        </w:tc>
        <w:tc>
          <w:tcPr>
            <w:tcW w:type="dxa" w:w="120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20.0%</w:t>
            </w:r>
          </w:p>
        </w:tc>
        <w:tc>
          <w:tcPr>
            <w:tcW w:type="dxa" w:w="120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20.0%</w:t>
            </w:r>
          </w:p>
        </w:tc>
        <w:tc>
          <w:tcPr>
            <w:tcW w:type="dxa" w:w="120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0.0%</w:t>
            </w:r>
          </w:p>
        </w:tc>
        <w:tc>
          <w:tcPr>
            <w:tcW w:type="dxa" w:w="120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0.0%</w:t>
            </w:r>
          </w:p>
        </w:tc>
        <w:tc>
          <w:tcPr>
            <w:tcW w:type="dxa" w:w="120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9.50%</w:t>
            </w:r>
          </w:p>
        </w:tc>
        <w:tc>
          <w:tcPr>
            <w:tcW w:type="dxa" w:w="1206"/>
            <w:shd w:fill="F7FAFC"/>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80% 台股 ETF / 20% 債券 ETF；隨升任副理／協理進入 20%～30% 綜所稅率級距，自提維持 15% 頂格節稅。</w:t>
            </w:r>
          </w:p>
        </w:tc>
      </w:tr>
      <w:tr>
        <w:tc>
          <w:tcPr>
            <w:tcW w:type="dxa" w:w="120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階段三：風險逐步收斂期</w:t>
              <w:br/>
              <w:t>51 ～ 60 歲 (距退休 5~14年)</w:t>
            </w:r>
          </w:p>
        </w:tc>
        <w:tc>
          <w:tcPr>
            <w:tcW w:type="dxa" w:w="120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45.0%</w:t>
            </w:r>
          </w:p>
        </w:tc>
        <w:tc>
          <w:tcPr>
            <w:tcW w:type="dxa" w:w="120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10.0%</w:t>
            </w:r>
          </w:p>
        </w:tc>
        <w:tc>
          <w:tcPr>
            <w:tcW w:type="dxa" w:w="120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35.0%</w:t>
            </w:r>
          </w:p>
        </w:tc>
        <w:tc>
          <w:tcPr>
            <w:tcW w:type="dxa" w:w="120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10.0%</w:t>
            </w:r>
          </w:p>
        </w:tc>
        <w:tc>
          <w:tcPr>
            <w:tcW w:type="dxa" w:w="120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0.0%</w:t>
            </w:r>
          </w:p>
        </w:tc>
        <w:tc>
          <w:tcPr>
            <w:tcW w:type="dxa" w:w="120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7.75%</w:t>
            </w:r>
          </w:p>
        </w:tc>
        <w:tc>
          <w:tcPr>
            <w:tcW w:type="dxa" w:w="1206"/>
            <w:shd w:fill="FFFFFF"/>
            <w:tcMar>
              <w:top w:w="75" w:type="dxa"/>
              <w:bottom w:w="75" w:type="dxa"/>
              <w:left w:w="90" w:type="dxa"/>
              <w:right w:w="90" w:type="dxa"/>
            </w:tcMar>
            <w:tcBorders>
              <w:top w:val="single" w:sz="4" w:space="0" w:color="D1D5DB"/>
              <w:bottom w:val="single" w:sz="4" w:space="0" w:color="D1D5DB"/>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55% 股票 / 45% 債券與現金；大幅削減高波動中小型股，防範退休前夕遭遇台股系統性崩盤（報酬順序風險）。</w:t>
            </w:r>
          </w:p>
        </w:tc>
      </w:tr>
      <w:tr>
        <w:tc>
          <w:tcPr>
            <w:tcW w:type="dxa" w:w="1206"/>
            <w:shd w:fill="F7FAFC"/>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left"/>
            </w:pPr>
            <w:r>
              <w:rPr>
                <w:rFonts w:ascii="Times New Roman" w:hAnsi="Times New Roman" w:eastAsia="微軟正黑體"/>
                <w:b/>
                <w:i w:val="0"/>
                <w:color w:val="1B365D"/>
                <w:sz w:val="18"/>
              </w:rPr>
              <w:t>階段四：退休保全提領期</w:t>
              <w:br/>
              <w:t>61 ～ 65+ 歲 (距退休 0~4年)</w:t>
            </w:r>
          </w:p>
        </w:tc>
        <w:tc>
          <w:tcPr>
            <w:tcW w:type="dxa" w:w="1206"/>
            <w:shd w:fill="F7FAFC"/>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35.0%</w:t>
            </w:r>
          </w:p>
        </w:tc>
        <w:tc>
          <w:tcPr>
            <w:tcW w:type="dxa" w:w="1206"/>
            <w:shd w:fill="F7FAFC"/>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5.0%</w:t>
            </w:r>
          </w:p>
        </w:tc>
        <w:tc>
          <w:tcPr>
            <w:tcW w:type="dxa" w:w="1206"/>
            <w:shd w:fill="F7FAFC"/>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40.0%</w:t>
            </w:r>
          </w:p>
        </w:tc>
        <w:tc>
          <w:tcPr>
            <w:tcW w:type="dxa" w:w="1206"/>
            <w:shd w:fill="F7FAFC"/>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20.0%</w:t>
            </w:r>
          </w:p>
        </w:tc>
        <w:tc>
          <w:tcPr>
            <w:tcW w:type="dxa" w:w="1206"/>
            <w:shd w:fill="F7FAFC"/>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0.0%</w:t>
            </w:r>
          </w:p>
        </w:tc>
        <w:tc>
          <w:tcPr>
            <w:tcW w:type="dxa" w:w="1206"/>
            <w:shd w:fill="F7FAFC"/>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center"/>
            </w:pPr>
            <w:r>
              <w:rPr>
                <w:rFonts w:ascii="Times New Roman" w:hAnsi="Times New Roman" w:eastAsia="微軟正黑體"/>
                <w:b w:val="0"/>
                <w:i w:val="0"/>
                <w:color w:val="1E1E1E"/>
                <w:sz w:val="18"/>
              </w:rPr>
              <w:t>6.63%</w:t>
            </w:r>
          </w:p>
        </w:tc>
        <w:tc>
          <w:tcPr>
            <w:tcW w:type="dxa" w:w="1206"/>
            <w:shd w:fill="F7FAFC"/>
            <w:tcMar>
              <w:top w:w="75" w:type="dxa"/>
              <w:bottom w:w="75" w:type="dxa"/>
              <w:left w:w="90" w:type="dxa"/>
              <w:right w:w="90" w:type="dxa"/>
            </w:tcMar>
            <w:tcBorders>
              <w:top w:val="single" w:sz="4" w:space="0" w:color="D1D5DB"/>
              <w:bottom w:val="single" w:sz="12" w:space="0" w:color="1B365D"/>
              <w:left w:val="none" w:sz="0" w:space="0" w:color="auto"/>
              <w:right w:val="none" w:sz="0" w:space="0" w:color="auto"/>
            </w:tcBorders>
          </w:tcPr>
          <w:p>
            <w:pPr>
              <w:spacing w:before="0" w:after="0" w:line="300" w:lineRule="auto"/>
              <w:jc w:val="left"/>
            </w:pPr>
            <w:r>
              <w:rPr>
                <w:rFonts w:ascii="Times New Roman" w:hAnsi="Times New Roman" w:eastAsia="微軟正黑體"/>
                <w:b w:val="0"/>
                <w:i w:val="0"/>
                <w:color w:val="1E1E1E"/>
                <w:sz w:val="18"/>
              </w:rPr>
              <w:t>40% 0050 配息抗通膨；60% 投資級債與台幣貨幣基金提供未來 3～5 年穩定退休生活費提領安全墊。</w:t>
            </w:r>
          </w:p>
        </w:tc>
      </w:tr>
    </w:tbl>
    <w:p>
      <w:pPr>
        <w:spacing w:before="60" w:after="160"/>
      </w:pPr>
      <w:r>
        <w:rPr>
          <w:rFonts w:ascii="Times New Roman" w:hAnsi="Times New Roman" w:eastAsia="微軟正黑體"/>
          <w:b w:val="0"/>
          <w:i/>
          <w:color w:val="595959"/>
          <w:sz w:val="17"/>
        </w:rPr>
        <w:t>資料來源：個案作者依生命週期投資法（Life-Cycle Investing）與台灣 ETF 資產配置實務設計。</w:t>
      </w:r>
    </w:p>
    <w:sectPr w:rsidR="00FC693F" w:rsidRPr="0006063C" w:rsidSect="00034616">
      <w:headerReference w:type="default" r:id="rId9"/>
      <w:footerReference w:type="default" r:id="rId10"/>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微軟正黑體"/>
        <w:color w:val="7F8C8D"/>
        <w:sz w:val="17"/>
      </w:rPr>
      <w:t>Copyright © 115學年度 碩士在職專班「領導與管理／財務管理」台灣本土化哈佛個案系列．翻印必究</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微軟正黑體"/>
        <w:color w:val="7F8C8D"/>
        <w:sz w:val="17"/>
      </w:rPr>
      <w:t>HARVARD BUSINESS SCHOOL CASE METHOD (TAIWAN EDITION)  |  HBS-FIN-11501-TW-MASTER  (TAIWAN COMPLETE CASE, TEACHING NOTE &amp; SOLUTIONS)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