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微軟正黑體" w:hAnsi="微軟正黑體"/>
          <w:b/>
          <w:color w:val="1B365D"/>
          <w:sz w:val="22"/>
        </w:rPr>
        <w:t>【個案與教學指引．詳解】</w:t>
      </w:r>
    </w:p>
    <w:p>
      <w:pPr>
        <w:spacing w:before="40" w:after="80"/>
        <w:jc w:val="left"/>
      </w:pPr>
      <w:r>
        <w:rPr>
          <w:rFonts w:ascii="微軟正黑體" w:hAnsi="微軟正黑體"/>
          <w:b/>
          <w:color w:val="0F4C81"/>
          <w:sz w:val="40"/>
        </w:rPr>
        <w:t>財務個案 2：Hubbard Computer, Inc. 的資金成本分析與「純業務法」應用</w:t>
      </w:r>
    </w:p>
    <w:p>
      <w:pPr>
        <w:spacing w:before="40" w:after="320"/>
        <w:jc w:val="left"/>
      </w:pPr>
      <w:r>
        <w:rPr>
          <w:rFonts w:ascii="微軟正黑體" w:hAnsi="微軟正黑體"/>
          <w:color w:val="5A6B7C"/>
          <w:sz w:val="23"/>
        </w:rPr>
        <w:t>Cost of Capital for Hubbard Computer, Inc. | 非上市公司 WACC 估算、純業務法 (Pure Play)、Hamada 去槓桿調整與市場價值權重</w:t>
      </w:r>
    </w:p>
    <w:tbl>
      <w:tblPr>
        <w:tblW w:type="auto" w:w="0"/>
        <w:jc w:val="center"/>
        <w:tblLook w:firstColumn="1" w:firstRow="1" w:lastColumn="0" w:lastRow="0" w:noHBand="0" w:noVBand="1" w:val="04A0"/>
      </w:tblPr>
      <w:tblGrid>
        <w:gridCol w:w="9648"/>
      </w:tblGrid>
      <w:tr>
        <w:tc>
          <w:tcPr>
            <w:tcW w:type="dxa" w:w="9648"/>
            <w:shd w:fill="1B365D"/>
          </w:tcPr>
          <w:p>
            <w:pPr>
              <w:spacing w:before="20" w:after="20"/>
            </w:pPr>
            <w:r>
              <w:rPr>
                <w:sz w:val="4"/>
              </w:rPr>
            </w:r>
          </w:p>
        </w:tc>
      </w:tr>
    </w:tbl>
    <w:p>
      <w:pPr>
        <w:keepNext/>
        <w:spacing w:before="360" w:after="160"/>
      </w:pPr>
      <w:r>
        <w:rPr>
          <w:rFonts w:ascii="微軟正黑體" w:hAnsi="微軟正黑體"/>
          <w:b/>
          <w:color w:val="1B365D"/>
          <w:sz w:val="28"/>
        </w:rPr>
        <w:t>第一部分：個案完整背景與情境描述</w:t>
      </w:r>
    </w:p>
    <w:p>
      <w:pPr>
        <w:spacing w:before="0" w:after="120" w:line="276" w:lineRule="auto"/>
      </w:pPr>
      <w:r>
        <w:rPr>
          <w:rFonts w:ascii="微軟正黑體" w:hAnsi="微軟正黑體"/>
          <w:b w:val="0"/>
          <w:i w:val="0"/>
          <w:color w:val="222222"/>
          <w:sz w:val="20"/>
        </w:rPr>
        <w:t>Hubbard Computer, Inc.（簡稱 HCI）由工程師出身的企業家鮑伯·哈伯德（Bob Hubbard）於二十年前創立，總部位於美國中西部。公司最初只是一家專注於區域性客製化個人電腦組裝與維修的工作室，經過多年的穩健經營，HCI 成功轉型為一家中型資訊科技解決方案供應商，專門為中小型企業、學術研究機構與地方政府機構提供高階工作站、客製化伺服器架構以及雲端基礎設施部署服務。由於產品性能優異且售後服務極具彈性，公司近年來的營業利潤與市佔率持續攀升。</w:t>
      </w:r>
    </w:p>
    <w:p>
      <w:pPr>
        <w:spacing w:before="0" w:after="120" w:line="276" w:lineRule="auto"/>
      </w:pPr>
      <w:r>
        <w:rPr>
          <w:rFonts w:ascii="微軟正黑體" w:hAnsi="微軟正黑體"/>
          <w:b w:val="0"/>
          <w:i w:val="0"/>
          <w:color w:val="222222"/>
          <w:sz w:val="20"/>
        </w:rPr>
        <w:t>目前，鮑伯·哈伯德與管理團隊正面臨一個攸關公司未來十年發展的重大資本支出決策：公司計劃投資 800 萬美元引進全新的高階模組化自動化組裝產線，並擴建一座企業級邊緣運算資料中心。這項投資預計將顯著降低單位生產成本，並使 HCI 具備承接大型資料中心代工訂單的技術實力。</w:t>
      </w:r>
    </w:p>
    <w:p>
      <w:pPr>
        <w:spacing w:before="0" w:after="120" w:line="276" w:lineRule="auto"/>
      </w:pPr>
      <w:r>
        <w:rPr>
          <w:rFonts w:ascii="微軟正黑體" w:hAnsi="微軟正黑體"/>
          <w:b w:val="0"/>
          <w:i w:val="0"/>
          <w:color w:val="222222"/>
          <w:sz w:val="20"/>
        </w:rPr>
        <w:t>為了評估這項重大投資方案的財務可行性，財務經理必須計算該專案的淨現值（NPV）與內部報酬率（IRR）。然而，在評估過程中，財務團隊遭遇了一個根本性的技術難題：【如何確定合適的專案折現率（Discount Rate），即加權平均資金成本（WACC）？】</w:t>
      </w:r>
    </w:p>
    <w:p>
      <w:pPr>
        <w:spacing w:before="0" w:after="120" w:line="276" w:lineRule="auto"/>
      </w:pPr>
      <w:r>
        <w:rPr>
          <w:rFonts w:ascii="微軟正黑體" w:hAnsi="微軟正黑體"/>
          <w:b w:val="0"/>
          <w:i w:val="0"/>
          <w:color w:val="222222"/>
          <w:sz w:val="20"/>
        </w:rPr>
        <w:t>在標準財務理論中，公司的加權平均資金成本（WACC）公式如下：</w:t>
        <w:br/>
        <w:t>$$\text{WACC} = \left(\frac{E}{V}\right) \times R_e + \left(\frac{D}{V}\right) \times R_d \times (1 - T_c)$$</w:t>
        <w:br/>
        <w:t>對於公開上市公司而言，股權資本成本 $R_e$ 通常可以透過資本資產定價模型（CAPM，即 $R_e = R_f + \beta \times [E(R_m) - R_f]$）輕鬆求得，因為公開市場有連續交易的股價、流通股數以及由市場指數迴歸得出的股票 Beta（$\beta$）值。</w:t>
      </w:r>
    </w:p>
    <w:p>
      <w:pPr>
        <w:spacing w:before="0" w:after="120" w:line="276" w:lineRule="auto"/>
      </w:pPr>
      <w:r>
        <w:rPr>
          <w:rFonts w:ascii="微軟正黑體" w:hAnsi="微軟正黑體"/>
          <w:b w:val="0"/>
          <w:i w:val="0"/>
          <w:color w:val="222222"/>
          <w:sz w:val="20"/>
        </w:rPr>
        <w:t>然而，HCI 是一家【未公開發行股票的私人控股公司】（Privately Held Company）。公司的全部股權緊密掌握在創辦人哈伯德家族、兩位資深高階主管以及少數創始天使投資人手中：</w:t>
        <w:br/>
        <w:t>1. HCI 的股票從未在任何證券交易所上市，市場上不存在公開交易的股價，因此無法直接計算股權的市場價值（$E$）。</w:t>
        <w:br/>
        <w:t>2. 由於缺乏歷史交易價格序列，統計上根本無法將 HCI 的報酬率與大盤指數（如 S&amp;P 500）進行迴歸以估算其貝塔值（$\beta$）。</w:t>
        <w:br/>
        <w:t>3. 私營公司的資本結構帳面價值（Book Value）受歷史會計提列與保留盈餘影響極深，往往嚴重背離真實經濟價值。</w:t>
      </w:r>
    </w:p>
    <w:p>
      <w:pPr>
        <w:spacing w:before="0" w:after="120" w:line="276" w:lineRule="auto"/>
      </w:pPr>
      <w:r>
        <w:rPr>
          <w:rFonts w:ascii="微軟正黑體" w:hAnsi="微軟正黑體"/>
          <w:b w:val="0"/>
          <w:i w:val="0"/>
          <w:color w:val="222222"/>
          <w:sz w:val="20"/>
        </w:rPr>
        <w:t>為了突破此一估值困境，財務團隊決定採取公司財務學界公認的【純業務法】（Pure Play Approach）：</w:t>
        <w:br/>
        <w:t>尋找一家業務結構、產品線與營運風險特徵與 HCI 極為相似的公開上市公司作為『對標標竿企業』（Proxy / Peer Company）。團隊一致選定了個人電腦與企業伺服器領域的全球龍頭業者——戴爾公司（Dell Inc.）作為純業務標竿。</w:t>
        <w:br/>
        <w:t>財務團隊搜集了 Dell 的最新市場交易數據、債券收益率、資產負債表與各項宏觀金融市場參數，準備藉由標竿企業的市場參數，推導出適用於 HCI 的真實加權平均資金成本。</w:t>
      </w:r>
    </w:p>
    <w:p>
      <w:pPr>
        <w:keepNext/>
        <w:spacing w:before="360" w:after="160"/>
      </w:pPr>
      <w:r>
        <w:rPr>
          <w:rFonts w:ascii="微軟正黑體" w:hAnsi="微軟正黑體"/>
          <w:b/>
          <w:color w:val="1B365D"/>
          <w:sz w:val="28"/>
        </w:rPr>
        <w:t>第二部分：核心財務數據與參數彙整</w:t>
      </w:r>
    </w:p>
    <w:tbl>
      <w:tblPr>
        <w:tblW w:type="auto" w:w="0"/>
        <w:jc w:val="center"/>
        <w:tblLook w:firstColumn="1" w:firstRow="1" w:lastColumn="0" w:lastRow="0" w:noHBand="0" w:noVBand="1" w:val="04A0"/>
      </w:tblPr>
      <w:tblGrid>
        <w:gridCol w:w="3216"/>
        <w:gridCol w:w="3216"/>
        <w:gridCol w:w="3216"/>
      </w:tblGrid>
      <w:tr>
        <w:tc>
          <w:tcPr>
            <w:tcW w:type="dxa" w:w="3600"/>
            <w:shd w:fill="1B365D"/>
            <w:tcMar>
              <w:top w:w="120" w:type="dxa"/>
              <w:bottom w:w="120" w:type="dxa"/>
              <w:left w:w="120" w:type="dxa"/>
              <w:right w:w="120" w:type="dxa"/>
            </w:tcMar>
          </w:tcPr>
          <w:p>
            <w:pPr>
              <w:jc w:val="center"/>
            </w:pPr>
            <w:r>
              <w:rPr>
                <w:rFonts w:ascii="微軟正黑體" w:hAnsi="微軟正黑體"/>
                <w:b/>
                <w:color w:val="FFFFFF"/>
                <w:sz w:val="19"/>
              </w:rPr>
              <w:t>標竿企業 (Dell Inc.) 財務與市場指標</w:t>
            </w:r>
          </w:p>
        </w:tc>
        <w:tc>
          <w:tcPr>
            <w:tcW w:type="dxa" w:w="2304"/>
            <w:shd w:fill="1B365D"/>
            <w:tcMar>
              <w:top w:w="120" w:type="dxa"/>
              <w:bottom w:w="120" w:type="dxa"/>
              <w:left w:w="120" w:type="dxa"/>
              <w:right w:w="120" w:type="dxa"/>
            </w:tcMar>
          </w:tcPr>
          <w:p>
            <w:pPr>
              <w:jc w:val="center"/>
            </w:pPr>
            <w:r>
              <w:rPr>
                <w:rFonts w:ascii="微軟正黑體" w:hAnsi="微軟正黑體"/>
                <w:b/>
                <w:color w:val="FFFFFF"/>
                <w:sz w:val="19"/>
              </w:rPr>
              <w:t>基準數值</w:t>
            </w:r>
          </w:p>
        </w:tc>
        <w:tc>
          <w:tcPr>
            <w:tcW w:type="dxa" w:w="3744"/>
            <w:shd w:fill="1B365D"/>
            <w:tcMar>
              <w:top w:w="120" w:type="dxa"/>
              <w:bottom w:w="120" w:type="dxa"/>
              <w:left w:w="120" w:type="dxa"/>
              <w:right w:w="120" w:type="dxa"/>
            </w:tcMar>
          </w:tcPr>
          <w:p>
            <w:pPr>
              <w:jc w:val="center"/>
            </w:pPr>
            <w:r>
              <w:rPr>
                <w:rFonts w:ascii="微軟正黑體" w:hAnsi="微軟正黑體"/>
                <w:b/>
                <w:color w:val="FFFFFF"/>
                <w:sz w:val="19"/>
              </w:rPr>
              <w:t>財務備註與資料來源</w:t>
            </w:r>
          </w:p>
        </w:tc>
      </w:tr>
      <w:tr>
        <w:tc>
          <w:tcPr>
            <w:tcW w:type="dxa" w:w="3600"/>
            <w:shd w:fill="FFFFFF"/>
            <w:tcMar>
              <w:top w:w="100" w:type="dxa"/>
              <w:bottom w:w="100" w:type="dxa"/>
              <w:left w:w="120" w:type="dxa"/>
              <w:right w:w="120" w:type="dxa"/>
            </w:tcMar>
          </w:tcPr>
          <w:p>
            <w:pPr>
              <w:jc w:val="left"/>
            </w:pPr>
            <w:r>
              <w:rPr>
                <w:rFonts w:ascii="微軟正黑體" w:hAnsi="微軟正黑體"/>
                <w:color w:val="1E1E1E"/>
                <w:sz w:val="18"/>
              </w:rPr>
              <w:t>每股公開市價 (Stock Price, P0)</w:t>
            </w:r>
          </w:p>
        </w:tc>
        <w:tc>
          <w:tcPr>
            <w:tcW w:type="dxa" w:w="2304"/>
            <w:shd w:fill="FFFFFF"/>
            <w:tcMar>
              <w:top w:w="100" w:type="dxa"/>
              <w:bottom w:w="100" w:type="dxa"/>
              <w:left w:w="120" w:type="dxa"/>
              <w:right w:w="120" w:type="dxa"/>
            </w:tcMar>
          </w:tcPr>
          <w:p>
            <w:pPr>
              <w:jc w:val="right"/>
            </w:pPr>
            <w:r>
              <w:rPr>
                <w:rFonts w:ascii="微軟正黑體" w:hAnsi="微軟正黑體"/>
                <w:color w:val="1E1E1E"/>
                <w:sz w:val="18"/>
              </w:rPr>
              <w:t>$35.00 美元</w:t>
            </w:r>
          </w:p>
        </w:tc>
        <w:tc>
          <w:tcPr>
            <w:tcW w:type="dxa" w:w="3744"/>
            <w:shd w:fill="FFFFFF"/>
            <w:tcMar>
              <w:top w:w="100" w:type="dxa"/>
              <w:bottom w:w="100" w:type="dxa"/>
              <w:left w:w="120" w:type="dxa"/>
              <w:right w:w="120" w:type="dxa"/>
            </w:tcMar>
          </w:tcPr>
          <w:p>
            <w:pPr>
              <w:jc w:val="left"/>
            </w:pPr>
            <w:r>
              <w:rPr>
                <w:rFonts w:ascii="微軟正黑體" w:hAnsi="微軟正黑體"/>
                <w:color w:val="1E1E1E"/>
                <w:sz w:val="18"/>
              </w:rPr>
              <w:t>紐約證券交易所最新收盤價</w:t>
            </w:r>
          </w:p>
        </w:tc>
      </w:tr>
      <w:tr>
        <w:tc>
          <w:tcPr>
            <w:tcW w:type="dxa" w:w="3600"/>
            <w:shd w:fill="F8FAFC"/>
            <w:tcMar>
              <w:top w:w="100" w:type="dxa"/>
              <w:bottom w:w="100" w:type="dxa"/>
              <w:left w:w="120" w:type="dxa"/>
              <w:right w:w="120" w:type="dxa"/>
            </w:tcMar>
          </w:tcPr>
          <w:p>
            <w:pPr>
              <w:jc w:val="left"/>
            </w:pPr>
            <w:r>
              <w:rPr>
                <w:rFonts w:ascii="微軟正黑體" w:hAnsi="微軟正黑體"/>
                <w:color w:val="1E1E1E"/>
                <w:sz w:val="18"/>
              </w:rPr>
              <w:t>流通在外普通股股數 (Shares Outstanding)</w:t>
            </w:r>
          </w:p>
        </w:tc>
        <w:tc>
          <w:tcPr>
            <w:tcW w:type="dxa" w:w="2304"/>
            <w:shd w:fill="F8FAFC"/>
            <w:tcMar>
              <w:top w:w="100" w:type="dxa"/>
              <w:bottom w:w="100" w:type="dxa"/>
              <w:left w:w="120" w:type="dxa"/>
              <w:right w:w="120" w:type="dxa"/>
            </w:tcMar>
          </w:tcPr>
          <w:p>
            <w:pPr>
              <w:jc w:val="left"/>
            </w:pPr>
            <w:r>
              <w:rPr>
                <w:rFonts w:ascii="微軟正黑體" w:hAnsi="微軟正黑體"/>
                <w:color w:val="1E1E1E"/>
                <w:sz w:val="18"/>
              </w:rPr>
              <w:t>2.5 億股 (250,000,000 股)</w:t>
            </w:r>
          </w:p>
        </w:tc>
        <w:tc>
          <w:tcPr>
            <w:tcW w:type="dxa" w:w="3744"/>
            <w:shd w:fill="F8FAFC"/>
            <w:tcMar>
              <w:top w:w="100" w:type="dxa"/>
              <w:bottom w:w="100" w:type="dxa"/>
              <w:left w:w="120" w:type="dxa"/>
              <w:right w:w="120" w:type="dxa"/>
            </w:tcMar>
          </w:tcPr>
          <w:p>
            <w:pPr>
              <w:jc w:val="left"/>
            </w:pPr>
            <w:r>
              <w:rPr>
                <w:rFonts w:ascii="微軟正黑體" w:hAnsi="微軟正黑體"/>
                <w:color w:val="1E1E1E"/>
                <w:sz w:val="18"/>
              </w:rPr>
              <w:t>最新季報揭露普通股股數</w:t>
            </w:r>
          </w:p>
        </w:tc>
      </w:tr>
      <w:tr>
        <w:tc>
          <w:tcPr>
            <w:tcW w:type="dxa" w:w="3600"/>
            <w:shd w:fill="FFFFFF"/>
            <w:tcMar>
              <w:top w:w="100" w:type="dxa"/>
              <w:bottom w:w="100" w:type="dxa"/>
              <w:left w:w="120" w:type="dxa"/>
              <w:right w:w="120" w:type="dxa"/>
            </w:tcMar>
          </w:tcPr>
          <w:p>
            <w:pPr>
              <w:jc w:val="left"/>
            </w:pPr>
            <w:r>
              <w:rPr>
                <w:rFonts w:ascii="微軟正黑體" w:hAnsi="微軟正黑體"/>
                <w:color w:val="1E1E1E"/>
                <w:sz w:val="18"/>
              </w:rPr>
              <w:t>股權市場價值 (Market Value of Equity, E)</w:t>
            </w:r>
          </w:p>
        </w:tc>
        <w:tc>
          <w:tcPr>
            <w:tcW w:type="dxa" w:w="2304"/>
            <w:shd w:fill="FFFFFF"/>
            <w:tcMar>
              <w:top w:w="100" w:type="dxa"/>
              <w:bottom w:w="100" w:type="dxa"/>
              <w:left w:w="120" w:type="dxa"/>
              <w:right w:w="120" w:type="dxa"/>
            </w:tcMar>
          </w:tcPr>
          <w:p>
            <w:pPr>
              <w:jc w:val="right"/>
            </w:pPr>
            <w:r>
              <w:rPr>
                <w:rFonts w:ascii="微軟正黑體" w:hAnsi="微軟正黑體"/>
                <w:color w:val="1E1E1E"/>
                <w:sz w:val="18"/>
              </w:rPr>
              <w:t>$87.5 億美元 ($8,750M)</w:t>
            </w:r>
          </w:p>
        </w:tc>
        <w:tc>
          <w:tcPr>
            <w:tcW w:type="dxa" w:w="3744"/>
            <w:shd w:fill="FFFFFF"/>
            <w:tcMar>
              <w:top w:w="100" w:type="dxa"/>
              <w:bottom w:w="100" w:type="dxa"/>
              <w:left w:w="120" w:type="dxa"/>
              <w:right w:w="120" w:type="dxa"/>
            </w:tcMar>
          </w:tcPr>
          <w:p>
            <w:pPr>
              <w:jc w:val="right"/>
            </w:pPr>
            <w:r>
              <w:rPr>
                <w:rFonts w:ascii="微軟正黑體" w:hAnsi="微軟正黑體"/>
                <w:color w:val="1E1E1E"/>
                <w:sz w:val="18"/>
              </w:rPr>
              <w:t>$35.00 × 250M 股</w:t>
            </w:r>
          </w:p>
        </w:tc>
      </w:tr>
      <w:tr>
        <w:tc>
          <w:tcPr>
            <w:tcW w:type="dxa" w:w="3600"/>
            <w:shd w:fill="F8FAFC"/>
            <w:tcMar>
              <w:top w:w="100" w:type="dxa"/>
              <w:bottom w:w="100" w:type="dxa"/>
              <w:left w:w="120" w:type="dxa"/>
              <w:right w:w="120" w:type="dxa"/>
            </w:tcMar>
          </w:tcPr>
          <w:p>
            <w:pPr>
              <w:jc w:val="left"/>
            </w:pPr>
            <w:r>
              <w:rPr>
                <w:rFonts w:ascii="微軟正黑體" w:hAnsi="微軟正黑體"/>
                <w:color w:val="1E1E1E"/>
                <w:sz w:val="18"/>
              </w:rPr>
              <w:t>股權帳面價值 (Book Value of Equity)</w:t>
            </w:r>
          </w:p>
        </w:tc>
        <w:tc>
          <w:tcPr>
            <w:tcW w:type="dxa" w:w="2304"/>
            <w:shd w:fill="F8FAFC"/>
            <w:tcMar>
              <w:top w:w="100" w:type="dxa"/>
              <w:bottom w:w="100" w:type="dxa"/>
              <w:left w:w="120" w:type="dxa"/>
              <w:right w:w="120" w:type="dxa"/>
            </w:tcMar>
          </w:tcPr>
          <w:p>
            <w:pPr>
              <w:jc w:val="right"/>
            </w:pPr>
            <w:r>
              <w:rPr>
                <w:rFonts w:ascii="微軟正黑體" w:hAnsi="微軟正黑體"/>
                <w:color w:val="1E1E1E"/>
                <w:sz w:val="18"/>
              </w:rPr>
              <w:t>$45.0 億美元 ($4,500M)</w:t>
            </w:r>
          </w:p>
        </w:tc>
        <w:tc>
          <w:tcPr>
            <w:tcW w:type="dxa" w:w="3744"/>
            <w:shd w:fill="F8FAFC"/>
            <w:tcMar>
              <w:top w:w="100" w:type="dxa"/>
              <w:bottom w:w="100" w:type="dxa"/>
              <w:left w:w="120" w:type="dxa"/>
              <w:right w:w="120" w:type="dxa"/>
            </w:tcMar>
          </w:tcPr>
          <w:p>
            <w:pPr>
              <w:jc w:val="left"/>
            </w:pPr>
            <w:r>
              <w:rPr>
                <w:rFonts w:ascii="微軟正黑體" w:hAnsi="微軟正黑體"/>
                <w:color w:val="1E1E1E"/>
                <w:sz w:val="18"/>
              </w:rPr>
              <w:t>資產負債表股東權益帳面淨值</w:t>
            </w:r>
          </w:p>
        </w:tc>
      </w:tr>
      <w:tr>
        <w:tc>
          <w:tcPr>
            <w:tcW w:type="dxa" w:w="3600"/>
            <w:shd w:fill="FFFFFF"/>
            <w:tcMar>
              <w:top w:w="100" w:type="dxa"/>
              <w:bottom w:w="100" w:type="dxa"/>
              <w:left w:w="120" w:type="dxa"/>
              <w:right w:w="120" w:type="dxa"/>
            </w:tcMar>
          </w:tcPr>
          <w:p>
            <w:pPr>
              <w:jc w:val="left"/>
            </w:pPr>
            <w:r>
              <w:rPr>
                <w:rFonts w:ascii="微軟正黑體" w:hAnsi="微軟正黑體"/>
                <w:color w:val="1E1E1E"/>
                <w:sz w:val="18"/>
              </w:rPr>
              <w:t>長期負債市場價值 (Market Value of Debt, D)</w:t>
            </w:r>
          </w:p>
        </w:tc>
        <w:tc>
          <w:tcPr>
            <w:tcW w:type="dxa" w:w="2304"/>
            <w:shd w:fill="FFFFFF"/>
            <w:tcMar>
              <w:top w:w="100" w:type="dxa"/>
              <w:bottom w:w="100" w:type="dxa"/>
              <w:left w:w="120" w:type="dxa"/>
              <w:right w:w="120" w:type="dxa"/>
            </w:tcMar>
          </w:tcPr>
          <w:p>
            <w:pPr>
              <w:jc w:val="right"/>
            </w:pPr>
            <w:r>
              <w:rPr>
                <w:rFonts w:ascii="微軟正黑體" w:hAnsi="微軟正黑體"/>
                <w:color w:val="1E1E1E"/>
                <w:sz w:val="18"/>
              </w:rPr>
              <w:t>$31.0 億美元 ($3,100M)</w:t>
            </w:r>
          </w:p>
        </w:tc>
        <w:tc>
          <w:tcPr>
            <w:tcW w:type="dxa" w:w="3744"/>
            <w:shd w:fill="FFFFFF"/>
            <w:tcMar>
              <w:top w:w="100" w:type="dxa"/>
              <w:bottom w:w="100" w:type="dxa"/>
              <w:left w:w="120" w:type="dxa"/>
              <w:right w:w="120" w:type="dxa"/>
            </w:tcMar>
          </w:tcPr>
          <w:p>
            <w:pPr>
              <w:jc w:val="left"/>
            </w:pPr>
            <w:r>
              <w:rPr>
                <w:rFonts w:ascii="微軟正黑體" w:hAnsi="微軟正黑體"/>
                <w:color w:val="1E1E1E"/>
                <w:sz w:val="18"/>
              </w:rPr>
              <w:t>流通債券市場報價總和</w:t>
            </w:r>
          </w:p>
        </w:tc>
      </w:tr>
      <w:tr>
        <w:tc>
          <w:tcPr>
            <w:tcW w:type="dxa" w:w="3600"/>
            <w:shd w:fill="F8FAFC"/>
            <w:tcMar>
              <w:top w:w="100" w:type="dxa"/>
              <w:bottom w:w="100" w:type="dxa"/>
              <w:left w:w="120" w:type="dxa"/>
              <w:right w:w="120" w:type="dxa"/>
            </w:tcMar>
          </w:tcPr>
          <w:p>
            <w:pPr>
              <w:jc w:val="left"/>
            </w:pPr>
            <w:r>
              <w:rPr>
                <w:rFonts w:ascii="微軟正黑體" w:hAnsi="微軟正黑體"/>
                <w:color w:val="1E1E1E"/>
                <w:sz w:val="18"/>
              </w:rPr>
              <w:t>長期負債帳面價值 (Book Value of Debt)</w:t>
            </w:r>
          </w:p>
        </w:tc>
        <w:tc>
          <w:tcPr>
            <w:tcW w:type="dxa" w:w="2304"/>
            <w:shd w:fill="F8FAFC"/>
            <w:tcMar>
              <w:top w:w="100" w:type="dxa"/>
              <w:bottom w:w="100" w:type="dxa"/>
              <w:left w:w="120" w:type="dxa"/>
              <w:right w:w="120" w:type="dxa"/>
            </w:tcMar>
          </w:tcPr>
          <w:p>
            <w:pPr>
              <w:jc w:val="right"/>
            </w:pPr>
            <w:r>
              <w:rPr>
                <w:rFonts w:ascii="微軟正黑體" w:hAnsi="微軟正黑體"/>
                <w:color w:val="1E1E1E"/>
                <w:sz w:val="18"/>
              </w:rPr>
              <w:t>$30.0 億美元 ($3,000M)</w:t>
            </w:r>
          </w:p>
        </w:tc>
        <w:tc>
          <w:tcPr>
            <w:tcW w:type="dxa" w:w="3744"/>
            <w:shd w:fill="F8FAFC"/>
            <w:tcMar>
              <w:top w:w="100" w:type="dxa"/>
              <w:bottom w:w="100" w:type="dxa"/>
              <w:left w:w="120" w:type="dxa"/>
              <w:right w:w="120" w:type="dxa"/>
            </w:tcMar>
          </w:tcPr>
          <w:p>
            <w:pPr>
              <w:jc w:val="left"/>
            </w:pPr>
            <w:r>
              <w:rPr>
                <w:rFonts w:ascii="微軟正黑體" w:hAnsi="微軟正黑體"/>
                <w:color w:val="1E1E1E"/>
                <w:sz w:val="18"/>
              </w:rPr>
              <w:t>資產負債表長期借款與應付債券帳面面值</w:t>
            </w:r>
          </w:p>
        </w:tc>
      </w:tr>
      <w:tr>
        <w:tc>
          <w:tcPr>
            <w:tcW w:type="dxa" w:w="3600"/>
            <w:shd w:fill="FFFFFF"/>
            <w:tcMar>
              <w:top w:w="100" w:type="dxa"/>
              <w:bottom w:w="100" w:type="dxa"/>
              <w:left w:w="120" w:type="dxa"/>
              <w:right w:w="120" w:type="dxa"/>
            </w:tcMar>
          </w:tcPr>
          <w:p>
            <w:pPr>
              <w:jc w:val="left"/>
            </w:pPr>
            <w:r>
              <w:rPr>
                <w:rFonts w:ascii="微軟正黑體" w:hAnsi="微軟正黑體"/>
                <w:color w:val="1E1E1E"/>
                <w:sz w:val="18"/>
              </w:rPr>
              <w:t>債務稅前到期殖利率 (Pre-tax Cost of Debt, Rd)</w:t>
            </w:r>
          </w:p>
        </w:tc>
        <w:tc>
          <w:tcPr>
            <w:tcW w:type="dxa" w:w="2304"/>
            <w:shd w:fill="FFFFFF"/>
            <w:tcMar>
              <w:top w:w="100" w:type="dxa"/>
              <w:bottom w:w="100" w:type="dxa"/>
              <w:left w:w="120" w:type="dxa"/>
              <w:right w:w="120" w:type="dxa"/>
            </w:tcMar>
          </w:tcPr>
          <w:p>
            <w:pPr>
              <w:jc w:val="right"/>
            </w:pPr>
            <w:r>
              <w:rPr>
                <w:rFonts w:ascii="微軟正黑體" w:hAnsi="微軟正黑體"/>
                <w:color w:val="1E1E1E"/>
                <w:sz w:val="18"/>
              </w:rPr>
              <w:t>6.50% 年利率</w:t>
            </w:r>
          </w:p>
        </w:tc>
        <w:tc>
          <w:tcPr>
            <w:tcW w:type="dxa" w:w="3744"/>
            <w:shd w:fill="FFFFFF"/>
            <w:tcMar>
              <w:top w:w="100" w:type="dxa"/>
              <w:bottom w:w="100" w:type="dxa"/>
              <w:left w:w="120" w:type="dxa"/>
              <w:right w:w="120" w:type="dxa"/>
            </w:tcMar>
          </w:tcPr>
          <w:p>
            <w:pPr>
              <w:jc w:val="left"/>
            </w:pPr>
            <w:r>
              <w:rPr>
                <w:rFonts w:ascii="微軟正黑體" w:hAnsi="微軟正黑體"/>
                <w:color w:val="1E1E1E"/>
                <w:sz w:val="18"/>
              </w:rPr>
              <w:t>流通債券加權平均 YTM</w:t>
            </w:r>
          </w:p>
        </w:tc>
      </w:tr>
      <w:tr>
        <w:tc>
          <w:tcPr>
            <w:tcW w:type="dxa" w:w="3600"/>
            <w:shd w:fill="F8FAFC"/>
            <w:tcMar>
              <w:top w:w="100" w:type="dxa"/>
              <w:bottom w:w="100" w:type="dxa"/>
              <w:left w:w="120" w:type="dxa"/>
              <w:right w:w="120" w:type="dxa"/>
            </w:tcMar>
          </w:tcPr>
          <w:p>
            <w:pPr>
              <w:jc w:val="left"/>
            </w:pPr>
            <w:r>
              <w:rPr>
                <w:rFonts w:ascii="微軟正黑體" w:hAnsi="微軟正黑體"/>
                <w:color w:val="1E1E1E"/>
                <w:sz w:val="18"/>
              </w:rPr>
              <w:t>股票歷史貝塔值 (Equity Beta, β_L)</w:t>
            </w:r>
          </w:p>
        </w:tc>
        <w:tc>
          <w:tcPr>
            <w:tcW w:type="dxa" w:w="2304"/>
            <w:shd w:fill="F8FAFC"/>
            <w:tcMar>
              <w:top w:w="100" w:type="dxa"/>
              <w:bottom w:w="100" w:type="dxa"/>
              <w:left w:w="120" w:type="dxa"/>
              <w:right w:w="120" w:type="dxa"/>
            </w:tcMar>
          </w:tcPr>
          <w:p>
            <w:pPr>
              <w:jc w:val="right"/>
            </w:pPr>
            <w:r>
              <w:rPr>
                <w:rFonts w:ascii="微軟正黑體" w:hAnsi="微軟正黑體"/>
                <w:color w:val="1E1E1E"/>
                <w:sz w:val="18"/>
              </w:rPr>
              <w:t>1.25</w:t>
            </w:r>
          </w:p>
        </w:tc>
        <w:tc>
          <w:tcPr>
            <w:tcW w:type="dxa" w:w="3744"/>
            <w:shd w:fill="F8FAFC"/>
            <w:tcMar>
              <w:top w:w="100" w:type="dxa"/>
              <w:bottom w:w="100" w:type="dxa"/>
              <w:left w:w="120" w:type="dxa"/>
              <w:right w:w="120" w:type="dxa"/>
            </w:tcMar>
          </w:tcPr>
          <w:p>
            <w:pPr>
              <w:jc w:val="left"/>
            </w:pPr>
            <w:r>
              <w:rPr>
                <w:rFonts w:ascii="微軟正黑體" w:hAnsi="微軟正黑體"/>
                <w:color w:val="1E1E1E"/>
                <w:sz w:val="18"/>
              </w:rPr>
              <w:t>相對於 S&amp;P 500 之 5 年月度迴歸值</w:t>
            </w:r>
          </w:p>
        </w:tc>
      </w:tr>
      <w:tr>
        <w:tc>
          <w:tcPr>
            <w:tcW w:type="dxa" w:w="3600"/>
            <w:shd w:fill="FFFFFF"/>
            <w:tcMar>
              <w:top w:w="100" w:type="dxa"/>
              <w:bottom w:w="100" w:type="dxa"/>
              <w:left w:w="120" w:type="dxa"/>
              <w:right w:w="120" w:type="dxa"/>
            </w:tcMar>
          </w:tcPr>
          <w:p>
            <w:pPr>
              <w:jc w:val="left"/>
            </w:pPr>
            <w:r>
              <w:rPr>
                <w:rFonts w:ascii="微軟正黑體" w:hAnsi="微軟正黑體"/>
                <w:color w:val="1E1E1E"/>
                <w:sz w:val="18"/>
              </w:rPr>
              <w:t>宏觀無風險利率 (Risk-Free Rate, Rf)</w:t>
            </w:r>
          </w:p>
        </w:tc>
        <w:tc>
          <w:tcPr>
            <w:tcW w:type="dxa" w:w="2304"/>
            <w:shd w:fill="FFFFFF"/>
            <w:tcMar>
              <w:top w:w="100" w:type="dxa"/>
              <w:bottom w:w="100" w:type="dxa"/>
              <w:left w:w="120" w:type="dxa"/>
              <w:right w:w="120" w:type="dxa"/>
            </w:tcMar>
          </w:tcPr>
          <w:p>
            <w:pPr>
              <w:jc w:val="right"/>
            </w:pPr>
            <w:r>
              <w:rPr>
                <w:rFonts w:ascii="微軟正黑體" w:hAnsi="微軟正黑體"/>
                <w:color w:val="1E1E1E"/>
                <w:sz w:val="18"/>
              </w:rPr>
              <w:t>3.50% 年利率</w:t>
            </w:r>
          </w:p>
        </w:tc>
        <w:tc>
          <w:tcPr>
            <w:tcW w:type="dxa" w:w="3744"/>
            <w:shd w:fill="FFFFFF"/>
            <w:tcMar>
              <w:top w:w="100" w:type="dxa"/>
              <w:bottom w:w="100" w:type="dxa"/>
              <w:left w:w="120" w:type="dxa"/>
              <w:right w:w="120" w:type="dxa"/>
            </w:tcMar>
          </w:tcPr>
          <w:p>
            <w:pPr>
              <w:jc w:val="left"/>
            </w:pPr>
            <w:r>
              <w:rPr>
                <w:rFonts w:ascii="微軟正黑體" w:hAnsi="微軟正黑體"/>
                <w:color w:val="1E1E1E"/>
                <w:sz w:val="18"/>
              </w:rPr>
              <w:t>美國 3 個月期國庫券殖利率</w:t>
            </w:r>
          </w:p>
        </w:tc>
      </w:tr>
      <w:tr>
        <w:tc>
          <w:tcPr>
            <w:tcW w:type="dxa" w:w="3600"/>
            <w:shd w:fill="F8FAFC"/>
            <w:tcMar>
              <w:top w:w="100" w:type="dxa"/>
              <w:bottom w:w="100" w:type="dxa"/>
              <w:left w:w="120" w:type="dxa"/>
              <w:right w:w="120" w:type="dxa"/>
            </w:tcMar>
          </w:tcPr>
          <w:p>
            <w:pPr>
              <w:jc w:val="left"/>
            </w:pPr>
            <w:r>
              <w:rPr>
                <w:rFonts w:ascii="微軟正黑體" w:hAnsi="微軟正黑體"/>
                <w:color w:val="1E1E1E"/>
                <w:sz w:val="18"/>
              </w:rPr>
              <w:t>市場預期報酬率 (Expected Market Return, E(Rm))</w:t>
            </w:r>
          </w:p>
        </w:tc>
        <w:tc>
          <w:tcPr>
            <w:tcW w:type="dxa" w:w="2304"/>
            <w:shd w:fill="F8FAFC"/>
            <w:tcMar>
              <w:top w:w="100" w:type="dxa"/>
              <w:bottom w:w="100" w:type="dxa"/>
              <w:left w:w="120" w:type="dxa"/>
              <w:right w:w="120" w:type="dxa"/>
            </w:tcMar>
          </w:tcPr>
          <w:p>
            <w:pPr>
              <w:jc w:val="right"/>
            </w:pPr>
            <w:r>
              <w:rPr>
                <w:rFonts w:ascii="微軟正黑體" w:hAnsi="微軟正黑體"/>
                <w:color w:val="1E1E1E"/>
                <w:sz w:val="18"/>
              </w:rPr>
              <w:t>11.00% 年利率</w:t>
            </w:r>
          </w:p>
        </w:tc>
        <w:tc>
          <w:tcPr>
            <w:tcW w:type="dxa" w:w="3744"/>
            <w:shd w:fill="F8FAFC"/>
            <w:tcMar>
              <w:top w:w="100" w:type="dxa"/>
              <w:bottom w:w="100" w:type="dxa"/>
              <w:left w:w="120" w:type="dxa"/>
              <w:right w:w="120" w:type="dxa"/>
            </w:tcMar>
          </w:tcPr>
          <w:p>
            <w:pPr>
              <w:jc w:val="left"/>
            </w:pPr>
            <w:r>
              <w:rPr>
                <w:rFonts w:ascii="微軟正黑體" w:hAnsi="微軟正黑體"/>
                <w:color w:val="1E1E1E"/>
                <w:sz w:val="18"/>
              </w:rPr>
              <w:t>S&amp;P 500 歷史長期幾何/算術平均回報</w:t>
            </w:r>
          </w:p>
        </w:tc>
      </w:tr>
      <w:tr>
        <w:tc>
          <w:tcPr>
            <w:tcW w:type="dxa" w:w="3600"/>
            <w:shd w:fill="FFFFFF"/>
            <w:tcMar>
              <w:top w:w="100" w:type="dxa"/>
              <w:bottom w:w="100" w:type="dxa"/>
              <w:left w:w="120" w:type="dxa"/>
              <w:right w:w="120" w:type="dxa"/>
            </w:tcMar>
          </w:tcPr>
          <w:p>
            <w:pPr>
              <w:jc w:val="left"/>
            </w:pPr>
            <w:r>
              <w:rPr>
                <w:rFonts w:ascii="微軟正黑體" w:hAnsi="微軟正黑體"/>
                <w:color w:val="1E1E1E"/>
                <w:sz w:val="18"/>
              </w:rPr>
              <w:t>市場風險溢酬 (Market Risk Premium, MRP)</w:t>
            </w:r>
          </w:p>
        </w:tc>
        <w:tc>
          <w:tcPr>
            <w:tcW w:type="dxa" w:w="2304"/>
            <w:shd w:fill="FFFFFF"/>
            <w:tcMar>
              <w:top w:w="100" w:type="dxa"/>
              <w:bottom w:w="100" w:type="dxa"/>
              <w:left w:w="120" w:type="dxa"/>
              <w:right w:w="120" w:type="dxa"/>
            </w:tcMar>
          </w:tcPr>
          <w:p>
            <w:pPr>
              <w:jc w:val="right"/>
            </w:pPr>
            <w:r>
              <w:rPr>
                <w:rFonts w:ascii="微軟正黑體" w:hAnsi="微軟正黑體"/>
                <w:color w:val="1E1E1E"/>
                <w:sz w:val="18"/>
              </w:rPr>
              <w:t>7.50% 年利率</w:t>
            </w:r>
          </w:p>
        </w:tc>
        <w:tc>
          <w:tcPr>
            <w:tcW w:type="dxa" w:w="3744"/>
            <w:shd w:fill="FFFFFF"/>
            <w:tcMar>
              <w:top w:w="100" w:type="dxa"/>
              <w:bottom w:w="100" w:type="dxa"/>
              <w:left w:w="120" w:type="dxa"/>
              <w:right w:w="120" w:type="dxa"/>
            </w:tcMar>
          </w:tcPr>
          <w:p>
            <w:pPr>
              <w:jc w:val="right"/>
            </w:pPr>
            <w:r>
              <w:rPr>
                <w:rFonts w:ascii="微軟正黑體" w:hAnsi="微軟正黑體"/>
                <w:color w:val="1E1E1E"/>
                <w:sz w:val="18"/>
              </w:rPr>
              <w:t>E(Rm) - Rf = 11.0% - 3.5%</w:t>
            </w:r>
          </w:p>
        </w:tc>
      </w:tr>
      <w:tr>
        <w:tc>
          <w:tcPr>
            <w:tcW w:type="dxa" w:w="3600"/>
            <w:shd w:fill="F8FAFC"/>
            <w:tcMar>
              <w:top w:w="100" w:type="dxa"/>
              <w:bottom w:w="100" w:type="dxa"/>
              <w:left w:w="120" w:type="dxa"/>
              <w:right w:w="120" w:type="dxa"/>
            </w:tcMar>
          </w:tcPr>
          <w:p>
            <w:pPr>
              <w:jc w:val="left"/>
            </w:pPr>
            <w:r>
              <w:rPr>
                <w:rFonts w:ascii="微軟正黑體" w:hAnsi="微軟正黑體"/>
                <w:color w:val="1E1E1E"/>
                <w:sz w:val="18"/>
              </w:rPr>
              <w:t>適用企業所得稅率 (Corporate Tax Rate, Tc)</w:t>
            </w:r>
          </w:p>
        </w:tc>
        <w:tc>
          <w:tcPr>
            <w:tcW w:type="dxa" w:w="2304"/>
            <w:shd w:fill="F8FAFC"/>
            <w:tcMar>
              <w:top w:w="100" w:type="dxa"/>
              <w:bottom w:w="100" w:type="dxa"/>
              <w:left w:w="120" w:type="dxa"/>
              <w:right w:w="120" w:type="dxa"/>
            </w:tcMar>
          </w:tcPr>
          <w:p>
            <w:pPr>
              <w:jc w:val="right"/>
            </w:pPr>
            <w:r>
              <w:rPr>
                <w:rFonts w:ascii="微軟正黑體" w:hAnsi="微軟正黑體"/>
                <w:color w:val="1E1E1E"/>
                <w:sz w:val="18"/>
              </w:rPr>
              <w:t>35.0%</w:t>
            </w:r>
          </w:p>
        </w:tc>
        <w:tc>
          <w:tcPr>
            <w:tcW w:type="dxa" w:w="3744"/>
            <w:shd w:fill="F8FAFC"/>
            <w:tcMar>
              <w:top w:w="100" w:type="dxa"/>
              <w:bottom w:w="100" w:type="dxa"/>
              <w:left w:w="120" w:type="dxa"/>
              <w:right w:w="120" w:type="dxa"/>
            </w:tcMar>
          </w:tcPr>
          <w:p>
            <w:pPr>
              <w:jc w:val="left"/>
            </w:pPr>
            <w:r>
              <w:rPr>
                <w:rFonts w:ascii="微軟正黑體" w:hAnsi="微軟正黑體"/>
                <w:color w:val="1E1E1E"/>
                <w:sz w:val="18"/>
              </w:rPr>
              <w:t>聯邦與州綜合邊際所得稅率</w:t>
            </w:r>
          </w:p>
        </w:tc>
      </w:tr>
    </w:tbl>
    <w:p>
      <w:pPr>
        <w:spacing w:after="80"/>
      </w:pPr>
    </w:p>
    <w:tbl>
      <w:tblPr>
        <w:tblW w:type="auto" w:w="0"/>
        <w:jc w:val="center"/>
        <w:tblLook w:firstColumn="1" w:firstRow="1" w:lastColumn="0" w:lastRow="0" w:noHBand="0" w:noVBand="1" w:val="04A0"/>
      </w:tblPr>
      <w:tblGrid>
        <w:gridCol w:w="3216"/>
        <w:gridCol w:w="3216"/>
        <w:gridCol w:w="3216"/>
      </w:tblGrid>
      <w:tr>
        <w:tc>
          <w:tcPr>
            <w:tcW w:type="dxa" w:w="3600"/>
            <w:shd w:fill="1B365D"/>
            <w:tcMar>
              <w:top w:w="120" w:type="dxa"/>
              <w:bottom w:w="120" w:type="dxa"/>
              <w:left w:w="120" w:type="dxa"/>
              <w:right w:w="120" w:type="dxa"/>
            </w:tcMar>
          </w:tcPr>
          <w:p>
            <w:pPr>
              <w:jc w:val="center"/>
            </w:pPr>
            <w:r>
              <w:rPr>
                <w:rFonts w:ascii="微軟正黑體" w:hAnsi="微軟正黑體"/>
                <w:b/>
                <w:color w:val="FFFFFF"/>
                <w:sz w:val="19"/>
              </w:rPr>
              <w:t>HCI 公司自身特徵與政策參數</w:t>
            </w:r>
          </w:p>
        </w:tc>
        <w:tc>
          <w:tcPr>
            <w:tcW w:type="dxa" w:w="2304"/>
            <w:shd w:fill="1B365D"/>
            <w:tcMar>
              <w:top w:w="120" w:type="dxa"/>
              <w:bottom w:w="120" w:type="dxa"/>
              <w:left w:w="120" w:type="dxa"/>
              <w:right w:w="120" w:type="dxa"/>
            </w:tcMar>
          </w:tcPr>
          <w:p>
            <w:pPr>
              <w:jc w:val="center"/>
            </w:pPr>
            <w:r>
              <w:rPr>
                <w:rFonts w:ascii="微軟正黑體" w:hAnsi="微軟正黑體"/>
                <w:b/>
                <w:color w:val="FFFFFF"/>
                <w:sz w:val="19"/>
              </w:rPr>
              <w:t>基準數值</w:t>
            </w:r>
          </w:p>
        </w:tc>
        <w:tc>
          <w:tcPr>
            <w:tcW w:type="dxa" w:w="3744"/>
            <w:shd w:fill="1B365D"/>
            <w:tcMar>
              <w:top w:w="120" w:type="dxa"/>
              <w:bottom w:w="120" w:type="dxa"/>
              <w:left w:w="120" w:type="dxa"/>
              <w:right w:w="120" w:type="dxa"/>
            </w:tcMar>
          </w:tcPr>
          <w:p>
            <w:pPr>
              <w:jc w:val="center"/>
            </w:pPr>
            <w:r>
              <w:rPr>
                <w:rFonts w:ascii="微軟正黑體" w:hAnsi="微軟正黑體"/>
                <w:b/>
                <w:color w:val="FFFFFF"/>
                <w:sz w:val="19"/>
              </w:rPr>
              <w:t>評估考量與財務含意</w:t>
            </w:r>
          </w:p>
        </w:tc>
      </w:tr>
      <w:tr>
        <w:tc>
          <w:tcPr>
            <w:tcW w:type="dxa" w:w="3600"/>
            <w:shd w:fill="FFFFFF"/>
            <w:tcMar>
              <w:top w:w="100" w:type="dxa"/>
              <w:bottom w:w="100" w:type="dxa"/>
              <w:left w:w="120" w:type="dxa"/>
              <w:right w:w="120" w:type="dxa"/>
            </w:tcMar>
          </w:tcPr>
          <w:p>
            <w:pPr>
              <w:jc w:val="left"/>
            </w:pPr>
            <w:r>
              <w:rPr>
                <w:rFonts w:ascii="微軟正黑體" w:hAnsi="微軟正黑體"/>
                <w:color w:val="1E1E1E"/>
                <w:sz w:val="18"/>
              </w:rPr>
              <w:t>新投資專案預估規模 (Project Capital)</w:t>
            </w:r>
          </w:p>
        </w:tc>
        <w:tc>
          <w:tcPr>
            <w:tcW w:type="dxa" w:w="2304"/>
            <w:shd w:fill="FFFFFF"/>
            <w:tcMar>
              <w:top w:w="100" w:type="dxa"/>
              <w:bottom w:w="100" w:type="dxa"/>
              <w:left w:w="120" w:type="dxa"/>
              <w:right w:w="120" w:type="dxa"/>
            </w:tcMar>
          </w:tcPr>
          <w:p>
            <w:pPr>
              <w:jc w:val="right"/>
            </w:pPr>
            <w:r>
              <w:rPr>
                <w:rFonts w:ascii="微軟正黑體" w:hAnsi="微軟正黑體"/>
                <w:color w:val="1E1E1E"/>
                <w:sz w:val="18"/>
              </w:rPr>
              <w:t>$8,000,000 美元</w:t>
            </w:r>
          </w:p>
        </w:tc>
        <w:tc>
          <w:tcPr>
            <w:tcW w:type="dxa" w:w="3744"/>
            <w:shd w:fill="FFFFFF"/>
            <w:tcMar>
              <w:top w:w="100" w:type="dxa"/>
              <w:bottom w:w="100" w:type="dxa"/>
              <w:left w:w="120" w:type="dxa"/>
              <w:right w:w="120" w:type="dxa"/>
            </w:tcMar>
          </w:tcPr>
          <w:p>
            <w:pPr>
              <w:jc w:val="left"/>
            </w:pPr>
            <w:r>
              <w:rPr>
                <w:rFonts w:ascii="微軟正黑體" w:hAnsi="微軟正黑體"/>
                <w:color w:val="1E1E1E"/>
                <w:sz w:val="18"/>
              </w:rPr>
              <w:t>自動化組裝產線與資料中心擴建</w:t>
            </w:r>
          </w:p>
        </w:tc>
      </w:tr>
      <w:tr>
        <w:tc>
          <w:tcPr>
            <w:tcW w:type="dxa" w:w="3600"/>
            <w:shd w:fill="F8FAFC"/>
            <w:tcMar>
              <w:top w:w="100" w:type="dxa"/>
              <w:bottom w:w="100" w:type="dxa"/>
              <w:left w:w="120" w:type="dxa"/>
              <w:right w:w="120" w:type="dxa"/>
            </w:tcMar>
          </w:tcPr>
          <w:p>
            <w:pPr>
              <w:jc w:val="left"/>
            </w:pPr>
            <w:r>
              <w:rPr>
                <w:rFonts w:ascii="微軟正黑體" w:hAnsi="微軟正黑體"/>
                <w:color w:val="1E1E1E"/>
                <w:sz w:val="18"/>
              </w:rPr>
              <w:t>HCI 目標資本結構：負債比率 (Target D/V)</w:t>
            </w:r>
          </w:p>
        </w:tc>
        <w:tc>
          <w:tcPr>
            <w:tcW w:type="dxa" w:w="2304"/>
            <w:shd w:fill="F8FAFC"/>
            <w:tcMar>
              <w:top w:w="100" w:type="dxa"/>
              <w:bottom w:w="100" w:type="dxa"/>
              <w:left w:w="120" w:type="dxa"/>
              <w:right w:w="120" w:type="dxa"/>
            </w:tcMar>
          </w:tcPr>
          <w:p>
            <w:pPr>
              <w:jc w:val="right"/>
            </w:pPr>
            <w:r>
              <w:rPr>
                <w:rFonts w:ascii="微軟正黑體" w:hAnsi="微軟正黑體"/>
                <w:color w:val="1E1E1E"/>
                <w:sz w:val="18"/>
              </w:rPr>
              <w:t>30.0%</w:t>
            </w:r>
          </w:p>
        </w:tc>
        <w:tc>
          <w:tcPr>
            <w:tcW w:type="dxa" w:w="3744"/>
            <w:shd w:fill="F8FAFC"/>
            <w:tcMar>
              <w:top w:w="100" w:type="dxa"/>
              <w:bottom w:w="100" w:type="dxa"/>
              <w:left w:w="120" w:type="dxa"/>
              <w:right w:w="120" w:type="dxa"/>
            </w:tcMar>
          </w:tcPr>
          <w:p>
            <w:pPr>
              <w:jc w:val="left"/>
            </w:pPr>
            <w:r>
              <w:rPr>
                <w:rFonts w:ascii="微軟正黑體" w:hAnsi="微軟正黑體"/>
                <w:color w:val="1E1E1E"/>
                <w:sz w:val="18"/>
              </w:rPr>
              <w:t>管理層設定之長期最佳目標負債比</w:t>
            </w:r>
          </w:p>
        </w:tc>
      </w:tr>
      <w:tr>
        <w:tc>
          <w:tcPr>
            <w:tcW w:type="dxa" w:w="3600"/>
            <w:shd w:fill="FFFFFF"/>
            <w:tcMar>
              <w:top w:w="100" w:type="dxa"/>
              <w:bottom w:w="100" w:type="dxa"/>
              <w:left w:w="120" w:type="dxa"/>
              <w:right w:w="120" w:type="dxa"/>
            </w:tcMar>
          </w:tcPr>
          <w:p>
            <w:pPr>
              <w:jc w:val="left"/>
            </w:pPr>
            <w:r>
              <w:rPr>
                <w:rFonts w:ascii="微軟正黑體" w:hAnsi="微軟正黑體"/>
                <w:color w:val="1E1E1E"/>
                <w:sz w:val="18"/>
              </w:rPr>
              <w:t>HCI 目標資本結構：股權比率 (Target E/V)</w:t>
            </w:r>
          </w:p>
        </w:tc>
        <w:tc>
          <w:tcPr>
            <w:tcW w:type="dxa" w:w="2304"/>
            <w:shd w:fill="FFFFFF"/>
            <w:tcMar>
              <w:top w:w="100" w:type="dxa"/>
              <w:bottom w:w="100" w:type="dxa"/>
              <w:left w:w="120" w:type="dxa"/>
              <w:right w:w="120" w:type="dxa"/>
            </w:tcMar>
          </w:tcPr>
          <w:p>
            <w:pPr>
              <w:jc w:val="right"/>
            </w:pPr>
            <w:r>
              <w:rPr>
                <w:rFonts w:ascii="微軟正黑體" w:hAnsi="微軟正黑體"/>
                <w:color w:val="1E1E1E"/>
                <w:sz w:val="18"/>
              </w:rPr>
              <w:t>70.0%</w:t>
            </w:r>
          </w:p>
        </w:tc>
        <w:tc>
          <w:tcPr>
            <w:tcW w:type="dxa" w:w="3744"/>
            <w:shd w:fill="FFFFFF"/>
            <w:tcMar>
              <w:top w:w="100" w:type="dxa"/>
              <w:bottom w:w="100" w:type="dxa"/>
              <w:left w:w="120" w:type="dxa"/>
              <w:right w:w="120" w:type="dxa"/>
            </w:tcMar>
          </w:tcPr>
          <w:p>
            <w:pPr>
              <w:jc w:val="left"/>
            </w:pPr>
            <w:r>
              <w:rPr>
                <w:rFonts w:ascii="微軟正黑體" w:hAnsi="微軟正黑體"/>
                <w:color w:val="1E1E1E"/>
                <w:sz w:val="18"/>
              </w:rPr>
              <w:t>管理層設定之長期最佳目標股權比</w:t>
            </w:r>
          </w:p>
        </w:tc>
      </w:tr>
      <w:tr>
        <w:tc>
          <w:tcPr>
            <w:tcW w:type="dxa" w:w="3600"/>
            <w:shd w:fill="F8FAFC"/>
            <w:tcMar>
              <w:top w:w="100" w:type="dxa"/>
              <w:bottom w:w="100" w:type="dxa"/>
              <w:left w:w="120" w:type="dxa"/>
              <w:right w:w="120" w:type="dxa"/>
            </w:tcMar>
          </w:tcPr>
          <w:p>
            <w:pPr>
              <w:jc w:val="left"/>
            </w:pPr>
            <w:r>
              <w:rPr>
                <w:rFonts w:ascii="微軟正黑體" w:hAnsi="微軟正黑體"/>
                <w:color w:val="1E1E1E"/>
                <w:sz w:val="18"/>
              </w:rPr>
              <w:t>HCI 目標債股比 (Target D/E Ratio)</w:t>
            </w:r>
          </w:p>
        </w:tc>
        <w:tc>
          <w:tcPr>
            <w:tcW w:type="dxa" w:w="2304"/>
            <w:shd w:fill="F8FAFC"/>
            <w:tcMar>
              <w:top w:w="100" w:type="dxa"/>
              <w:bottom w:w="100" w:type="dxa"/>
              <w:left w:w="120" w:type="dxa"/>
              <w:right w:w="120" w:type="dxa"/>
            </w:tcMar>
          </w:tcPr>
          <w:p>
            <w:pPr>
              <w:jc w:val="right"/>
            </w:pPr>
            <w:r>
              <w:rPr>
                <w:rFonts w:ascii="微軟正黑體" w:hAnsi="微軟正黑體"/>
                <w:color w:val="1E1E1E"/>
                <w:sz w:val="18"/>
              </w:rPr>
              <w:t>42.86%</w:t>
            </w:r>
          </w:p>
        </w:tc>
        <w:tc>
          <w:tcPr>
            <w:tcW w:type="dxa" w:w="3744"/>
            <w:shd w:fill="F8FAFC"/>
            <w:tcMar>
              <w:top w:w="100" w:type="dxa"/>
              <w:bottom w:w="100" w:type="dxa"/>
              <w:left w:w="120" w:type="dxa"/>
              <w:right w:w="120" w:type="dxa"/>
            </w:tcMar>
          </w:tcPr>
          <w:p>
            <w:pPr>
              <w:jc w:val="right"/>
            </w:pPr>
            <w:r>
              <w:rPr>
                <w:rFonts w:ascii="微軟正黑體" w:hAnsi="微軟正黑體"/>
                <w:color w:val="1E1E1E"/>
                <w:sz w:val="18"/>
              </w:rPr>
              <w:t>D/E = 30% / 70% ≈ 0.4286</w:t>
            </w:r>
          </w:p>
        </w:tc>
      </w:tr>
      <w:tr>
        <w:tc>
          <w:tcPr>
            <w:tcW w:type="dxa" w:w="3600"/>
            <w:shd w:fill="FFFFFF"/>
            <w:tcMar>
              <w:top w:w="100" w:type="dxa"/>
              <w:bottom w:w="100" w:type="dxa"/>
              <w:left w:w="120" w:type="dxa"/>
              <w:right w:w="120" w:type="dxa"/>
            </w:tcMar>
          </w:tcPr>
          <w:p>
            <w:pPr>
              <w:jc w:val="left"/>
            </w:pPr>
            <w:r>
              <w:rPr>
                <w:rFonts w:ascii="微軟正黑體" w:hAnsi="微軟正黑體"/>
                <w:color w:val="1E1E1E"/>
                <w:sz w:val="18"/>
              </w:rPr>
              <w:t>HCI 銀行長期借款利率 (HCI Borrowing Cost)</w:t>
            </w:r>
          </w:p>
        </w:tc>
        <w:tc>
          <w:tcPr>
            <w:tcW w:type="dxa" w:w="2304"/>
            <w:shd w:fill="FFFFFF"/>
            <w:tcMar>
              <w:top w:w="100" w:type="dxa"/>
              <w:bottom w:w="100" w:type="dxa"/>
              <w:left w:w="120" w:type="dxa"/>
              <w:right w:w="120" w:type="dxa"/>
            </w:tcMar>
          </w:tcPr>
          <w:p>
            <w:pPr>
              <w:jc w:val="right"/>
            </w:pPr>
            <w:r>
              <w:rPr>
                <w:rFonts w:ascii="微軟正黑體" w:hAnsi="微軟正黑體"/>
                <w:color w:val="1E1E1E"/>
                <w:sz w:val="18"/>
              </w:rPr>
              <w:t>7.20% 年利率</w:t>
            </w:r>
          </w:p>
        </w:tc>
        <w:tc>
          <w:tcPr>
            <w:tcW w:type="dxa" w:w="3744"/>
            <w:shd w:fill="FFFFFF"/>
            <w:tcMar>
              <w:top w:w="100" w:type="dxa"/>
              <w:bottom w:w="100" w:type="dxa"/>
              <w:left w:w="120" w:type="dxa"/>
              <w:right w:w="120" w:type="dxa"/>
            </w:tcMar>
          </w:tcPr>
          <w:p>
            <w:pPr>
              <w:jc w:val="left"/>
            </w:pPr>
            <w:r>
              <w:rPr>
                <w:rFonts w:ascii="微軟正黑體" w:hAnsi="微軟正黑體"/>
                <w:color w:val="1E1E1E"/>
                <w:sz w:val="18"/>
              </w:rPr>
              <w:t>中小企業商業銀行核貸利率 (高於 Dell 70 bps)</w:t>
            </w:r>
          </w:p>
        </w:tc>
      </w:tr>
      <w:tr>
        <w:tc>
          <w:tcPr>
            <w:tcW w:type="dxa" w:w="3600"/>
            <w:shd w:fill="F8FAFC"/>
            <w:tcMar>
              <w:top w:w="100" w:type="dxa"/>
              <w:bottom w:w="100" w:type="dxa"/>
              <w:left w:w="120" w:type="dxa"/>
              <w:right w:w="120" w:type="dxa"/>
            </w:tcMar>
          </w:tcPr>
          <w:p>
            <w:pPr>
              <w:jc w:val="left"/>
            </w:pPr>
            <w:r>
              <w:rPr>
                <w:rFonts w:ascii="微軟正黑體" w:hAnsi="微軟正黑體"/>
                <w:color w:val="1E1E1E"/>
                <w:sz w:val="18"/>
              </w:rPr>
              <w:t>小型企業規模溢價 (Size Premium, s)</w:t>
            </w:r>
          </w:p>
        </w:tc>
        <w:tc>
          <w:tcPr>
            <w:tcW w:type="dxa" w:w="2304"/>
            <w:shd w:fill="F8FAFC"/>
            <w:tcMar>
              <w:top w:w="100" w:type="dxa"/>
              <w:bottom w:w="100" w:type="dxa"/>
              <w:left w:w="120" w:type="dxa"/>
              <w:right w:w="120" w:type="dxa"/>
            </w:tcMar>
          </w:tcPr>
          <w:p>
            <w:pPr>
              <w:jc w:val="right"/>
            </w:pPr>
            <w:r>
              <w:rPr>
                <w:rFonts w:ascii="微軟正黑體" w:hAnsi="微軟正黑體"/>
                <w:color w:val="1E1E1E"/>
                <w:sz w:val="18"/>
              </w:rPr>
              <w:t>2.50%</w:t>
            </w:r>
          </w:p>
        </w:tc>
        <w:tc>
          <w:tcPr>
            <w:tcW w:type="dxa" w:w="3744"/>
            <w:shd w:fill="F8FAFC"/>
            <w:tcMar>
              <w:top w:w="100" w:type="dxa"/>
              <w:bottom w:w="100" w:type="dxa"/>
              <w:left w:w="120" w:type="dxa"/>
              <w:right w:w="120" w:type="dxa"/>
            </w:tcMar>
          </w:tcPr>
          <w:p>
            <w:pPr>
              <w:jc w:val="left"/>
            </w:pPr>
            <w:r>
              <w:rPr>
                <w:rFonts w:ascii="微軟正黑體" w:hAnsi="微軟正黑體"/>
                <w:color w:val="1E1E1E"/>
                <w:sz w:val="18"/>
              </w:rPr>
              <w:t>私營小型企業相對於大型股之額外風險補償</w:t>
            </w:r>
          </w:p>
        </w:tc>
      </w:tr>
      <w:tr>
        <w:tc>
          <w:tcPr>
            <w:tcW w:type="dxa" w:w="3600"/>
            <w:shd w:fill="FFFFFF"/>
            <w:tcMar>
              <w:top w:w="100" w:type="dxa"/>
              <w:bottom w:w="100" w:type="dxa"/>
              <w:left w:w="120" w:type="dxa"/>
              <w:right w:w="120" w:type="dxa"/>
            </w:tcMar>
          </w:tcPr>
          <w:p>
            <w:pPr>
              <w:jc w:val="left"/>
            </w:pPr>
            <w:r>
              <w:rPr>
                <w:rFonts w:ascii="微軟正黑體" w:hAnsi="微軟正黑體"/>
                <w:color w:val="1E1E1E"/>
                <w:sz w:val="18"/>
              </w:rPr>
              <w:t>非流動性折價/溢價 (Illiquidity Premium, i)</w:t>
            </w:r>
          </w:p>
        </w:tc>
        <w:tc>
          <w:tcPr>
            <w:tcW w:type="dxa" w:w="2304"/>
            <w:shd w:fill="FFFFFF"/>
            <w:tcMar>
              <w:top w:w="100" w:type="dxa"/>
              <w:bottom w:w="100" w:type="dxa"/>
              <w:left w:w="120" w:type="dxa"/>
              <w:right w:w="120" w:type="dxa"/>
            </w:tcMar>
          </w:tcPr>
          <w:p>
            <w:pPr>
              <w:jc w:val="right"/>
            </w:pPr>
            <w:r>
              <w:rPr>
                <w:rFonts w:ascii="微軟正黑體" w:hAnsi="微軟正黑體"/>
                <w:color w:val="1E1E1E"/>
                <w:sz w:val="18"/>
              </w:rPr>
              <w:t>1.50%</w:t>
            </w:r>
          </w:p>
        </w:tc>
        <w:tc>
          <w:tcPr>
            <w:tcW w:type="dxa" w:w="3744"/>
            <w:shd w:fill="FFFFFF"/>
            <w:tcMar>
              <w:top w:w="100" w:type="dxa"/>
              <w:bottom w:w="100" w:type="dxa"/>
              <w:left w:w="120" w:type="dxa"/>
              <w:right w:w="120" w:type="dxa"/>
            </w:tcMar>
          </w:tcPr>
          <w:p>
            <w:pPr>
              <w:jc w:val="left"/>
            </w:pPr>
            <w:r>
              <w:rPr>
                <w:rFonts w:ascii="微軟正黑體" w:hAnsi="微軟正黑體"/>
                <w:color w:val="1E1E1E"/>
                <w:sz w:val="18"/>
              </w:rPr>
              <w:t>股權無法隨時公開變現之流動性貼水</w:t>
            </w:r>
          </w:p>
        </w:tc>
      </w:tr>
    </w:tbl>
    <w:p>
      <w:pPr>
        <w:keepNext/>
        <w:spacing w:before="360" w:after="160"/>
      </w:pPr>
      <w:r>
        <w:rPr>
          <w:rFonts w:ascii="微軟正黑體" w:hAnsi="微軟正黑體"/>
          <w:b/>
          <w:color w:val="1B365D"/>
          <w:sz w:val="28"/>
        </w:rPr>
        <w:t>第三部分：個案核心作業問題清單</w:t>
      </w:r>
    </w:p>
    <w:p>
      <w:pPr>
        <w:pStyle w:val="ListBullet"/>
        <w:spacing w:before="20" w:after="60" w:line="276" w:lineRule="auto"/>
      </w:pPr>
      <w:r>
        <w:rPr>
          <w:rFonts w:ascii="微軟正黑體" w:hAnsi="微軟正黑體"/>
          <w:b/>
          <w:color w:val="1B365D"/>
          <w:sz w:val="20"/>
        </w:rPr>
        <w:t>問題一（可比公司資本結構權重計算）：</w:t>
      </w:r>
      <w:r>
        <w:rPr>
          <w:rFonts w:ascii="微軟正黑體" w:hAnsi="微軟正黑體"/>
          <w:color w:val="282828"/>
          <w:sz w:val="20"/>
        </w:rPr>
        <w:t>根據標竿企業 Dell Inc. 的財務數據，請分別計算其在【帳面價值（Book Value）】與【市場價值（Market Value）】下的股權權重（$w_e = E/V$）與債務權重（$w_d = D/V$）。兩者為何會產生巨大差異？</w:t>
      </w:r>
    </w:p>
    <w:p>
      <w:pPr>
        <w:pStyle w:val="ListBullet"/>
        <w:spacing w:before="20" w:after="60" w:line="276" w:lineRule="auto"/>
      </w:pPr>
      <w:r>
        <w:rPr>
          <w:rFonts w:ascii="微軟正黑體" w:hAnsi="微軟正黑體"/>
          <w:b/>
          <w:color w:val="1B365D"/>
          <w:sz w:val="20"/>
        </w:rPr>
        <w:t>問題二（股利折現模型 DDM 之適用性批判）：</w:t>
      </w:r>
      <w:r>
        <w:rPr>
          <w:rFonts w:ascii="微軟正黑體" w:hAnsi="微軟正黑體"/>
          <w:color w:val="282828"/>
          <w:sz w:val="20"/>
        </w:rPr>
        <w:t>在估算股權資本成本時，除了 CAPM 模型，財務學亦常採用股利折現模型（Dividend Discount Model / Gordon Model，即 $R_e = D_1 / P_0 + g$）。請問在 Dell 或高科技電腦產業中，能否使用該模型估算股權成本？為什麼多數科技公司不適用該方法？</w:t>
      </w:r>
    </w:p>
    <w:p>
      <w:pPr>
        <w:pStyle w:val="ListBullet"/>
        <w:spacing w:before="20" w:after="60" w:line="276" w:lineRule="auto"/>
      </w:pPr>
      <w:r>
        <w:rPr>
          <w:rFonts w:ascii="微軟正黑體" w:hAnsi="微軟正黑體"/>
          <w:b/>
          <w:color w:val="1B365D"/>
          <w:sz w:val="20"/>
        </w:rPr>
        <w:t>問題三（標竿企業資本成本組件計算）：</w:t>
      </w:r>
      <w:r>
        <w:rPr>
          <w:rFonts w:ascii="微軟正黑體" w:hAnsi="微軟正黑體"/>
          <w:color w:val="282828"/>
          <w:sz w:val="20"/>
        </w:rPr>
        <w:t>使用資本資產定價模型（CAPM）計算 Dell 的股權資本成本（$R_e$），並計算其稅後債務資本成本（$R_d \times (1 - T_c)$）。</w:t>
      </w:r>
    </w:p>
    <w:p>
      <w:pPr>
        <w:pStyle w:val="ListBullet"/>
        <w:spacing w:before="20" w:after="60" w:line="276" w:lineRule="auto"/>
      </w:pPr>
      <w:r>
        <w:rPr>
          <w:rFonts w:ascii="微軟正黑體" w:hAnsi="微軟正黑體"/>
          <w:b/>
          <w:color w:val="1B365D"/>
          <w:sz w:val="20"/>
        </w:rPr>
        <w:t>問題四（WACC 計算與權重理論之深度論證）：</w:t>
      </w:r>
      <w:r>
        <w:rPr>
          <w:rFonts w:ascii="微軟正黑體" w:hAnsi="微軟正黑體"/>
          <w:color w:val="282828"/>
          <w:sz w:val="20"/>
        </w:rPr>
        <w:t>1. 分別使用【帳面價值權重】與【市場價值權重】計算 Dell 的 WACC。</w:t>
        <w:br/>
        <w:t>2. 在公司財務與資本預算決策中，哪一個 WACC 具有理論依據與實務真實性？請從『機會成本』與『邊際融資成本』的視角深入闡述理由。</w:t>
      </w:r>
    </w:p>
    <w:p>
      <w:pPr>
        <w:pStyle w:val="ListBullet"/>
        <w:spacing w:before="20" w:after="60" w:line="276" w:lineRule="auto"/>
      </w:pPr>
      <w:r>
        <w:rPr>
          <w:rFonts w:ascii="微軟正黑體" w:hAnsi="微軟正黑體"/>
          <w:b/>
          <w:color w:val="1B365D"/>
          <w:sz w:val="20"/>
        </w:rPr>
        <w:t>問題五（純業務法之局限性與 HCI 專屬 WACC 調整）：</w:t>
      </w:r>
      <w:r>
        <w:rPr>
          <w:rFonts w:ascii="微軟正黑體" w:hAnsi="微軟正黑體"/>
          <w:color w:val="282828"/>
          <w:sz w:val="20"/>
        </w:rPr>
        <w:t>直接將 Dell 的 WACC 作為 HCI 專案的折現率存在嚴重的財務缺陷。請說明其潛在問題，並透過以下步驟推導出 HCI 專屬的 WACC：</w:t>
        <w:br/>
        <w:t>• 步驟 A：利用 Hamada 方程將 Dell 的負債貝塔（$\beta_L$）去槓桿化，求出無負債資產貝塔（$\beta_U$）。</w:t>
        <w:br/>
        <w:t>• 步驟 B：根據 HCI 的目標資本結構（$D/V = 30\%$）重新加槓桿，求出 HCI 的目標權益貝塔（$\beta_{L, HCI}$）。</w:t>
        <w:br/>
        <w:t>• 步驟 C：納入小型企業規模溢價（2.5%）與非流動性溢價（1.5%），重新計算 HCI 的股權資本成本。</w:t>
        <w:br/>
        <w:t>• 步驟 D：計算出最適合 HCI 用於評估新投資專案的最終 WACC。</w:t>
      </w:r>
    </w:p>
    <w:p>
      <w:pPr>
        <w:keepNext/>
        <w:spacing w:before="360" w:after="160"/>
      </w:pPr>
      <w:r>
        <w:rPr>
          <w:rFonts w:ascii="微軟正黑體" w:hAnsi="微軟正黑體"/>
          <w:b/>
          <w:color w:val="1B365D"/>
          <w:sz w:val="28"/>
        </w:rPr>
        <w:t>第四部分：教師教學指引（Instructor's Teaching Guide）</w:t>
      </w:r>
    </w:p>
    <w:p>
      <w:pPr>
        <w:keepNext/>
        <w:spacing w:before="240" w:after="120"/>
      </w:pPr>
      <w:r>
        <w:rPr>
          <w:rFonts w:ascii="微軟正黑體" w:hAnsi="微軟正黑體"/>
          <w:b/>
          <w:color w:val="2C5E8A"/>
          <w:sz w:val="24"/>
        </w:rPr>
        <w:t>4.1 教學目標與先備知識要求</w:t>
      </w:r>
    </w:p>
    <w:p>
      <w:pPr>
        <w:pStyle w:val="ListBullet"/>
        <w:spacing w:before="20" w:after="60" w:line="276" w:lineRule="auto"/>
      </w:pPr>
      <w:r>
        <w:rPr>
          <w:rFonts w:ascii="微軟正黑體" w:hAnsi="微軟正黑體"/>
          <w:b/>
          <w:color w:val="1B365D"/>
          <w:sz w:val="20"/>
        </w:rPr>
        <w:t>教學目標 1：掌握未上市私營企業資本成本的系統性估算流程：</w:t>
      </w:r>
      <w:r>
        <w:rPr>
          <w:rFonts w:ascii="微軟正黑體" w:hAnsi="微軟正黑體"/>
          <w:color w:val="282828"/>
          <w:sz w:val="20"/>
        </w:rPr>
        <w:t>讓學生克服『未上市沒有股價就無法算 WACC』的盲點，掌握純業務法、Beta 槓桿調整之標準投行實務操作。</w:t>
      </w:r>
    </w:p>
    <w:p>
      <w:pPr>
        <w:pStyle w:val="ListBullet"/>
        <w:spacing w:before="20" w:after="60" w:line="276" w:lineRule="auto"/>
      </w:pPr>
      <w:r>
        <w:rPr>
          <w:rFonts w:ascii="微軟正黑體" w:hAnsi="微軟正黑體"/>
          <w:b/>
          <w:color w:val="1B365D"/>
          <w:sz w:val="20"/>
        </w:rPr>
        <w:t>教學目標 2：徹底釐清市場價值權重 vs. 帳面價值權重之理論爭端：</w:t>
      </w:r>
      <w:r>
        <w:rPr>
          <w:rFonts w:ascii="微軟正黑體" w:hAnsi="微軟正黑體"/>
          <w:color w:val="282828"/>
          <w:sz w:val="20"/>
        </w:rPr>
        <w:t>訓練學生從資本市場機會成本的角度論證，徹底破除使用會計帳面價值的錯誤習慣。</w:t>
      </w:r>
    </w:p>
    <w:p>
      <w:pPr>
        <w:pStyle w:val="ListBullet"/>
        <w:spacing w:before="20" w:after="60" w:line="276" w:lineRule="auto"/>
      </w:pPr>
      <w:r>
        <w:rPr>
          <w:rFonts w:ascii="微軟正黑體" w:hAnsi="微軟正黑體"/>
          <w:b/>
          <w:color w:val="1B365D"/>
          <w:sz w:val="20"/>
        </w:rPr>
        <w:t>教學目標 3：熟練運用 Hamada 方程進行經營風險與財務風險的分離：</w:t>
      </w:r>
      <w:r>
        <w:rPr>
          <w:rFonts w:ascii="微軟正黑體" w:hAnsi="微軟正黑體"/>
          <w:color w:val="282828"/>
          <w:sz w:val="20"/>
        </w:rPr>
        <w:t>讓學生理解資產貝塔（Asset Beta）反映純粹的產業營運風險，而股權貝塔（Equity Beta）則疊加了財務槓桿風險。</w:t>
      </w:r>
    </w:p>
    <w:p>
      <w:pPr>
        <w:pStyle w:val="ListBullet"/>
        <w:spacing w:before="20" w:after="60" w:line="276" w:lineRule="auto"/>
      </w:pPr>
      <w:r>
        <w:rPr>
          <w:rFonts w:ascii="微軟正黑體" w:hAnsi="微軟正黑體"/>
          <w:b/>
          <w:color w:val="1B365D"/>
          <w:sz w:val="20"/>
        </w:rPr>
        <w:t>先備知識：</w:t>
      </w:r>
      <w:r>
        <w:rPr>
          <w:rFonts w:ascii="微軟正黑體" w:hAnsi="微軟正黑體"/>
          <w:color w:val="282828"/>
          <w:sz w:val="20"/>
        </w:rPr>
        <w:t>CAPM 資本資產定價模型、加權平均資金成本（WACC）公式、資產負債表結構、系統性風險與非系統性風險概念。</w:t>
      </w:r>
    </w:p>
    <w:p>
      <w:pPr>
        <w:keepNext/>
        <w:spacing w:before="240" w:after="120"/>
      </w:pPr>
      <w:r>
        <w:rPr>
          <w:rFonts w:ascii="微軟正黑體" w:hAnsi="微軟正黑體"/>
          <w:b/>
          <w:color w:val="2C5E8A"/>
          <w:sz w:val="24"/>
        </w:rPr>
        <w:t>4.2 核心財務理論架構深度剖析</w:t>
      </w:r>
    </w:p>
    <w:tbl>
      <w:tblPr>
        <w:tblW w:type="auto" w:w="0"/>
        <w:jc w:val="center"/>
        <w:tblLook w:firstColumn="1" w:firstRow="1" w:lastColumn="0" w:lastRow="0" w:noHBand="0" w:noVBand="1" w:val="04A0"/>
      </w:tblPr>
      <w:tblGrid>
        <w:gridCol w:w="9648"/>
      </w:tblGrid>
      <w:tr>
        <w:tc>
          <w:tcPr>
            <w:tcW w:type="dxa" w:w="9648"/>
            <w:shd w:fill="F0F4F8"/>
            <w:tcMar>
              <w:top w:w="140" w:type="dxa"/>
              <w:bottom w:w="140" w:type="dxa"/>
              <w:left w:w="180" w:type="dxa"/>
              <w:right w:w="180" w:type="dxa"/>
            </w:tcMar>
            <w:tcBorders>
              <w:top w:val="none" w:sz="4" w:space="0" w:color="auto"/>
              <w:left w:val="single" w:sz="24" w:space="0" w:color="1B365D"/>
              <w:bottom w:val="none" w:sz="4" w:space="0" w:color="auto"/>
              <w:right w:val="none" w:sz="4" w:space="0" w:color="auto"/>
            </w:tcBorders>
          </w:tcPr>
          <w:p>
            <w:pPr>
              <w:spacing w:before="0" w:after="80"/>
            </w:pPr>
            <w:r>
              <w:rPr>
                <w:rFonts w:ascii="微軟正黑體" w:hAnsi="微軟正黑體"/>
                <w:b/>
                <w:color w:val="1B365D"/>
                <w:sz w:val="21"/>
              </w:rPr>
              <w:t>📌 核心模型剖析：Hamada 方程與 Beta 槓桿調整機制</w:t>
            </w:r>
          </w:p>
          <w:p>
            <w:pPr>
              <w:spacing w:before="20" w:after="60" w:line="276" w:lineRule="auto"/>
            </w:pPr>
            <w:r>
              <w:rPr>
                <w:rFonts w:ascii="微軟正黑體" w:hAnsi="微軟正黑體"/>
                <w:color w:val="2D3748"/>
                <w:sz w:val="19"/>
              </w:rPr>
              <w:t>當對標公司（Dell）與目標公司（HCI）的資本結構不同時，直接套用 Dell 的股票 Beta 是致命錯誤！</w:t>
            </w:r>
          </w:p>
          <w:p>
            <w:pPr>
              <w:spacing w:before="20" w:after="60" w:line="276" w:lineRule="auto"/>
            </w:pPr>
            <w:r>
              <w:rPr>
                <w:rFonts w:ascii="微軟正黑體" w:hAnsi="微軟正黑體"/>
                <w:color w:val="2D3748"/>
                <w:sz w:val="19"/>
              </w:rPr>
              <w:t>根據羅伯特·濱田（Robert Hamada）於 1972 年提出的理論，在存在公司所得稅的條件下，股票的槓桿貝塔（Levered Beta, β_L）與無槓桿資產貝塔（Unlevered / Asset Beta, β_U）滿足以下關係：</w:t>
            </w:r>
          </w:p>
          <w:p>
            <w:pPr>
              <w:spacing w:before="20" w:after="60" w:line="276" w:lineRule="auto"/>
            </w:pPr>
            <w:r>
              <w:rPr>
                <w:rFonts w:ascii="微軟正黑體" w:hAnsi="微軟正黑體"/>
                <w:color w:val="2D3748"/>
                <w:sz w:val="19"/>
              </w:rPr>
              <w:t>$$\beta_L = \beta_U \times \left[ 1 + (1 - T_c) \times \left(\frac{D}{E}\right) \right]$$</w:t>
            </w:r>
          </w:p>
          <w:p>
            <w:pPr>
              <w:spacing w:before="20" w:after="60" w:line="276" w:lineRule="auto"/>
            </w:pPr>
            <w:r>
              <w:rPr>
                <w:rFonts w:ascii="微軟正黑體" w:hAnsi="微軟正黑體"/>
                <w:color w:val="2D3748"/>
                <w:sz w:val="19"/>
              </w:rPr>
              <w:t>$$\beta_U = \frac{\beta_L}{1 + (1 - T_c) \times \left(\frac{D}{E}\right)}$$</w:t>
            </w:r>
          </w:p>
          <w:p>
            <w:pPr>
              <w:spacing w:before="20" w:after="60" w:line="276" w:lineRule="auto"/>
            </w:pPr>
            <w:r>
              <w:rPr>
                <w:rFonts w:ascii="微軟正黑體" w:hAnsi="微軟正黑體"/>
                <w:color w:val="2D3748"/>
                <w:sz w:val="19"/>
              </w:rPr>
              <w:t>• 無槓桿貝塔（β_U）衡量的是該產業資產的【純商業/營運風險】（Business Risk），與公司的資本結構無關。</w:t>
            </w:r>
          </w:p>
          <w:p>
            <w:pPr>
              <w:spacing w:before="20" w:after="60" w:line="276" w:lineRule="auto"/>
            </w:pPr>
            <w:r>
              <w:rPr>
                <w:rFonts w:ascii="微軟正黑體" w:hAnsi="微軟正黑體"/>
                <w:color w:val="2D3748"/>
                <w:sz w:val="19"/>
              </w:rPr>
              <w:t>• 估值實務操作【三部曲】：① 將標竿公司的 Beta 去槓桿（Unlevering）萃取出產業營運風險；② 將該產業 Beta 依照目標公司自身的目標資本結構重新加槓桿（Relevering）；③ 依目標公司特有風險（規模、流動性）加入必要風險溢酬。</w:t>
            </w:r>
          </w:p>
        </w:tc>
      </w:tr>
    </w:tbl>
    <w:p>
      <w:pPr>
        <w:keepNext/>
        <w:spacing w:before="240" w:after="120"/>
      </w:pPr>
      <w:r>
        <w:rPr>
          <w:rFonts w:ascii="微軟正黑體" w:hAnsi="微軟正黑體"/>
          <w:b/>
          <w:color w:val="2C5E8A"/>
          <w:sz w:val="24"/>
        </w:rPr>
        <w:t>4.3 學生常見學習盲點與引導策略</w:t>
      </w:r>
    </w:p>
    <w:p>
      <w:pPr>
        <w:pStyle w:val="ListBullet"/>
        <w:spacing w:before="20" w:after="60" w:line="276" w:lineRule="auto"/>
      </w:pPr>
      <w:r>
        <w:rPr>
          <w:rFonts w:ascii="微軟正黑體" w:hAnsi="微軟正黑體"/>
          <w:b/>
          <w:color w:val="1B365D"/>
          <w:sz w:val="20"/>
        </w:rPr>
        <w:t>盲點一：『帳面價值是會計師審計過的，比每天波動的股票市值更客觀可靠』</w:t>
      </w:r>
      <w:r>
        <w:rPr>
          <w:rFonts w:ascii="微軟正黑體" w:hAnsi="微軟正黑體"/>
          <w:color w:val="282828"/>
          <w:sz w:val="20"/>
        </w:rPr>
        <w:t>引導技巧：教師可反問學生：『如果你今天去銀行貸款買房子，銀行是用你 20 年前買房的合約價借你錢，還是用當前的市場估價？』資本成本是今天去市場募集新資金所必須承諾投資人的報酬率。帳面價值是沉沒歷史成本，只有【市場價值】反映資產替換與邊際融資的真實機會成本。</w:t>
      </w:r>
    </w:p>
    <w:p>
      <w:pPr>
        <w:pStyle w:val="ListBullet"/>
        <w:spacing w:before="20" w:after="60" w:line="276" w:lineRule="auto"/>
      </w:pPr>
      <w:r>
        <w:rPr>
          <w:rFonts w:ascii="微軟正黑體" w:hAnsi="微軟正黑體"/>
          <w:b/>
          <w:color w:val="1B365D"/>
          <w:sz w:val="20"/>
        </w:rPr>
        <w:t>盲點二：『直接把 Dell 的 1.25 Beta 拿來算 HCI 的股權成本』</w:t>
      </w:r>
      <w:r>
        <w:rPr>
          <w:rFonts w:ascii="微軟正黑體" w:hAnsi="微軟正黑體"/>
          <w:color w:val="282828"/>
          <w:sz w:val="20"/>
        </w:rPr>
        <w:t>引導技巧：提醒學生注意兩家公司負債比例不同（Dell 市值負債比 26.16%，HCI 目標負債比 30%）。更重要的是，Dell 是巨型跨國企業，HCI 是地方型中小企業，中小企業有更高的倒閉風險與資訊不對稱，必須額外加上 Size Premium 與 Illiquidity Discount。</w:t>
      </w:r>
    </w:p>
    <w:p>
      <w:pPr>
        <w:keepNext/>
        <w:spacing w:before="360" w:after="160"/>
      </w:pPr>
      <w:r>
        <w:rPr>
          <w:rFonts w:ascii="微軟正黑體" w:hAnsi="微軟正黑體"/>
          <w:b/>
          <w:color w:val="1B365D"/>
          <w:sz w:val="28"/>
        </w:rPr>
        <w:t>第五部分：教學解答與詳細數學推導</w:t>
      </w:r>
    </w:p>
    <w:p>
      <w:pPr>
        <w:keepNext/>
        <w:spacing w:before="240" w:after="120"/>
      </w:pPr>
      <w:r>
        <w:rPr>
          <w:rFonts w:ascii="微軟正黑體" w:hAnsi="微軟正黑體"/>
          <w:b/>
          <w:color w:val="2C5E8A"/>
          <w:sz w:val="24"/>
        </w:rPr>
        <w:t>問題一解答：Dell 資本結構權重計算（帳面 vs. 市場）</w:t>
      </w:r>
    </w:p>
    <w:p>
      <w:pPr>
        <w:spacing w:before="0" w:after="120" w:line="276" w:lineRule="auto"/>
      </w:pPr>
      <w:r>
        <w:rPr>
          <w:rFonts w:ascii="微軟正黑體" w:hAnsi="微軟正黑體"/>
          <w:b w:val="0"/>
          <w:i w:val="0"/>
          <w:color w:val="222222"/>
          <w:sz w:val="20"/>
        </w:rPr>
        <w:t>根據個案資料，計算 Dell 兩種不同衡量基準下的資本結構：</w:t>
        <w:br/>
        <w:br/>
        <w:t>1. 帳面價值衡量基準（Book Value Basis）：</w:t>
        <w:br/>
        <w:t>• 債務帳面價值（$D_{BV}$）= $30.0 億美元</w:t>
        <w:br/>
        <w:t>• 股權帳面價值（$E_{BV}$）= $45.0 億美元</w:t>
        <w:br/>
        <w:t>• 總資本帳面價值（$V_{BV}$）= $30.0 + $45.0 = $75.0 億美元</w:t>
        <w:br/>
        <w:t>• 債務帳面權重（$w_{d, BV}$）= $30.0 / $75.0 = 40.00%</w:t>
        <w:br/>
        <w:t>• 股權帳面權重（$w_{e, BV}$）= $45.0 / $75.0 = 60.00%</w:t>
        <w:br/>
        <w:br/>
        <w:t>2. 市場價值衡量基準（Market Value Basis）：</w:t>
        <w:br/>
        <w:t>• 股權市場價值（$E_{MV}$）= $35.00 × 2.5 億股 = $87.5 億美元</w:t>
        <w:br/>
        <w:t>• 債務市場價值（$D_{MV}$）= $31.0 億美元（債券市價總值）</w:t>
        <w:br/>
        <w:t>• 總資本市場價值（$V_{MV}$）= $87.5 + $31.0 = $118.5 億美元</w:t>
        <w:br/>
        <w:t>• 債務市場權重（$w_{d, MV}$）= $31.0 / $118.5 = 26.16%</w:t>
        <w:br/>
        <w:t>• 股權市場權重（$w_{e, MV}$）= $87.5 / $118.5 = 73.84%</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2592"/>
            <w:shd w:fill="1B365D"/>
            <w:tcMar>
              <w:top w:w="120" w:type="dxa"/>
              <w:bottom w:w="120" w:type="dxa"/>
              <w:left w:w="120" w:type="dxa"/>
              <w:right w:w="120" w:type="dxa"/>
            </w:tcMar>
          </w:tcPr>
          <w:p>
            <w:pPr>
              <w:jc w:val="center"/>
            </w:pPr>
            <w:r>
              <w:rPr>
                <w:rFonts w:ascii="微軟正黑體" w:hAnsi="微軟正黑體"/>
                <w:b/>
                <w:color w:val="FFFFFF"/>
                <w:sz w:val="19"/>
              </w:rPr>
              <w:t>資本結構評估維度</w:t>
            </w:r>
          </w:p>
        </w:tc>
        <w:tc>
          <w:tcPr>
            <w:tcW w:type="dxa" w:w="1584"/>
            <w:shd w:fill="1B365D"/>
            <w:tcMar>
              <w:top w:w="120" w:type="dxa"/>
              <w:bottom w:w="120" w:type="dxa"/>
              <w:left w:w="120" w:type="dxa"/>
              <w:right w:w="120" w:type="dxa"/>
            </w:tcMar>
          </w:tcPr>
          <w:p>
            <w:pPr>
              <w:jc w:val="center"/>
            </w:pPr>
            <w:r>
              <w:rPr>
                <w:rFonts w:ascii="微軟正黑體" w:hAnsi="微軟正黑體"/>
                <w:b/>
                <w:color w:val="FFFFFF"/>
                <w:sz w:val="19"/>
              </w:rPr>
              <w:t>債務規模 (D)</w:t>
            </w:r>
          </w:p>
        </w:tc>
        <w:tc>
          <w:tcPr>
            <w:tcW w:type="dxa" w:w="1584"/>
            <w:shd w:fill="1B365D"/>
            <w:tcMar>
              <w:top w:w="120" w:type="dxa"/>
              <w:bottom w:w="120" w:type="dxa"/>
              <w:left w:w="120" w:type="dxa"/>
              <w:right w:w="120" w:type="dxa"/>
            </w:tcMar>
          </w:tcPr>
          <w:p>
            <w:pPr>
              <w:jc w:val="center"/>
            </w:pPr>
            <w:r>
              <w:rPr>
                <w:rFonts w:ascii="微軟正黑體" w:hAnsi="微軟正黑體"/>
                <w:b/>
                <w:color w:val="FFFFFF"/>
                <w:sz w:val="19"/>
              </w:rPr>
              <w:t>股權規模 (E)</w:t>
            </w:r>
          </w:p>
        </w:tc>
        <w:tc>
          <w:tcPr>
            <w:tcW w:type="dxa" w:w="1584"/>
            <w:shd w:fill="1B365D"/>
            <w:tcMar>
              <w:top w:w="120" w:type="dxa"/>
              <w:bottom w:w="120" w:type="dxa"/>
              <w:left w:w="120" w:type="dxa"/>
              <w:right w:w="120" w:type="dxa"/>
            </w:tcMar>
          </w:tcPr>
          <w:p>
            <w:pPr>
              <w:jc w:val="center"/>
            </w:pPr>
            <w:r>
              <w:rPr>
                <w:rFonts w:ascii="微軟正黑體" w:hAnsi="微軟正黑體"/>
                <w:b/>
                <w:color w:val="FFFFFF"/>
                <w:sz w:val="19"/>
              </w:rPr>
              <w:t>總資本規模 (V)</w:t>
            </w:r>
          </w:p>
        </w:tc>
        <w:tc>
          <w:tcPr>
            <w:tcW w:type="dxa" w:w="1440"/>
            <w:shd w:fill="1B365D"/>
            <w:tcMar>
              <w:top w:w="120" w:type="dxa"/>
              <w:bottom w:w="120" w:type="dxa"/>
              <w:left w:w="120" w:type="dxa"/>
              <w:right w:w="120" w:type="dxa"/>
            </w:tcMar>
          </w:tcPr>
          <w:p>
            <w:pPr>
              <w:jc w:val="center"/>
            </w:pPr>
            <w:r>
              <w:rPr>
                <w:rFonts w:ascii="微軟正黑體" w:hAnsi="微軟正黑體"/>
                <w:b/>
                <w:color w:val="FFFFFF"/>
                <w:sz w:val="19"/>
              </w:rPr>
              <w:t>債務權重 (wd)</w:t>
            </w:r>
          </w:p>
        </w:tc>
        <w:tc>
          <w:tcPr>
            <w:tcW w:type="dxa" w:w="1440"/>
            <w:shd w:fill="1B365D"/>
            <w:tcMar>
              <w:top w:w="120" w:type="dxa"/>
              <w:bottom w:w="120" w:type="dxa"/>
              <w:left w:w="120" w:type="dxa"/>
              <w:right w:w="120" w:type="dxa"/>
            </w:tcMar>
          </w:tcPr>
          <w:p>
            <w:pPr>
              <w:jc w:val="center"/>
            </w:pPr>
            <w:r>
              <w:rPr>
                <w:rFonts w:ascii="微軟正黑體" w:hAnsi="微軟正黑體"/>
                <w:b/>
                <w:color w:val="FFFFFF"/>
                <w:sz w:val="19"/>
              </w:rPr>
              <w:t>股權權重 (we)</w:t>
            </w:r>
          </w:p>
        </w:tc>
      </w:tr>
      <w:tr>
        <w:tc>
          <w:tcPr>
            <w:tcW w:type="dxa" w:w="2592"/>
            <w:shd w:fill="FFFFFF"/>
            <w:tcMar>
              <w:top w:w="100" w:type="dxa"/>
              <w:bottom w:w="100" w:type="dxa"/>
              <w:left w:w="120" w:type="dxa"/>
              <w:right w:w="120" w:type="dxa"/>
            </w:tcMar>
          </w:tcPr>
          <w:p>
            <w:pPr>
              <w:jc w:val="left"/>
            </w:pPr>
            <w:r>
              <w:rPr>
                <w:rFonts w:ascii="微軟正黑體" w:hAnsi="微軟正黑體"/>
                <w:color w:val="1E1E1E"/>
                <w:sz w:val="18"/>
              </w:rPr>
              <w:t>帳面價值基準 (Book Value)</w:t>
            </w:r>
          </w:p>
        </w:tc>
        <w:tc>
          <w:tcPr>
            <w:tcW w:type="dxa" w:w="1584"/>
            <w:shd w:fill="FFFFFF"/>
            <w:tcMar>
              <w:top w:w="100" w:type="dxa"/>
              <w:bottom w:w="100" w:type="dxa"/>
              <w:left w:w="120" w:type="dxa"/>
              <w:right w:w="120" w:type="dxa"/>
            </w:tcMar>
          </w:tcPr>
          <w:p>
            <w:pPr>
              <w:jc w:val="right"/>
            </w:pPr>
            <w:r>
              <w:rPr>
                <w:rFonts w:ascii="微軟正黑體" w:hAnsi="微軟正黑體"/>
                <w:color w:val="1E1E1E"/>
                <w:sz w:val="18"/>
              </w:rPr>
              <w:t>$30.0 億美元</w:t>
            </w:r>
          </w:p>
        </w:tc>
        <w:tc>
          <w:tcPr>
            <w:tcW w:type="dxa" w:w="1584"/>
            <w:shd w:fill="FFFFFF"/>
            <w:tcMar>
              <w:top w:w="100" w:type="dxa"/>
              <w:bottom w:w="100" w:type="dxa"/>
              <w:left w:w="120" w:type="dxa"/>
              <w:right w:w="120" w:type="dxa"/>
            </w:tcMar>
          </w:tcPr>
          <w:p>
            <w:pPr>
              <w:jc w:val="right"/>
            </w:pPr>
            <w:r>
              <w:rPr>
                <w:rFonts w:ascii="微軟正黑體" w:hAnsi="微軟正黑體"/>
                <w:color w:val="1E1E1E"/>
                <w:sz w:val="18"/>
              </w:rPr>
              <w:t>$45.0 億美元</w:t>
            </w:r>
          </w:p>
        </w:tc>
        <w:tc>
          <w:tcPr>
            <w:tcW w:type="dxa" w:w="1584"/>
            <w:shd w:fill="FFFFFF"/>
            <w:tcMar>
              <w:top w:w="100" w:type="dxa"/>
              <w:bottom w:w="100" w:type="dxa"/>
              <w:left w:w="120" w:type="dxa"/>
              <w:right w:w="120" w:type="dxa"/>
            </w:tcMar>
          </w:tcPr>
          <w:p>
            <w:pPr>
              <w:jc w:val="right"/>
            </w:pPr>
            <w:r>
              <w:rPr>
                <w:rFonts w:ascii="微軟正黑體" w:hAnsi="微軟正黑體"/>
                <w:color w:val="1E1E1E"/>
                <w:sz w:val="18"/>
              </w:rPr>
              <w:t>$75.0 億美元</w:t>
            </w:r>
          </w:p>
        </w:tc>
        <w:tc>
          <w:tcPr>
            <w:tcW w:type="dxa" w:w="1440"/>
            <w:shd w:fill="FFFFFF"/>
            <w:tcMar>
              <w:top w:w="100" w:type="dxa"/>
              <w:bottom w:w="100" w:type="dxa"/>
              <w:left w:w="120" w:type="dxa"/>
              <w:right w:w="120" w:type="dxa"/>
            </w:tcMar>
          </w:tcPr>
          <w:p>
            <w:pPr>
              <w:jc w:val="right"/>
            </w:pPr>
            <w:r>
              <w:rPr>
                <w:rFonts w:ascii="微軟正黑體" w:hAnsi="微軟正黑體"/>
                <w:color w:val="1E1E1E"/>
                <w:sz w:val="18"/>
              </w:rPr>
              <w:t>40.00%</w:t>
            </w:r>
          </w:p>
        </w:tc>
        <w:tc>
          <w:tcPr>
            <w:tcW w:type="dxa" w:w="1440"/>
            <w:shd w:fill="FFFFFF"/>
            <w:tcMar>
              <w:top w:w="100" w:type="dxa"/>
              <w:bottom w:w="100" w:type="dxa"/>
              <w:left w:w="120" w:type="dxa"/>
              <w:right w:w="120" w:type="dxa"/>
            </w:tcMar>
          </w:tcPr>
          <w:p>
            <w:pPr>
              <w:jc w:val="right"/>
            </w:pPr>
            <w:r>
              <w:rPr>
                <w:rFonts w:ascii="微軟正黑體" w:hAnsi="微軟正黑體"/>
                <w:color w:val="1E1E1E"/>
                <w:sz w:val="18"/>
              </w:rPr>
              <w:t>60.00%</w:t>
            </w:r>
          </w:p>
        </w:tc>
      </w:tr>
      <w:tr>
        <w:tc>
          <w:tcPr>
            <w:tcW w:type="dxa" w:w="2592"/>
            <w:shd w:fill="F8FAFC"/>
            <w:tcMar>
              <w:top w:w="100" w:type="dxa"/>
              <w:bottom w:w="100" w:type="dxa"/>
              <w:left w:w="120" w:type="dxa"/>
              <w:right w:w="120" w:type="dxa"/>
            </w:tcMar>
          </w:tcPr>
          <w:p>
            <w:pPr>
              <w:jc w:val="left"/>
            </w:pPr>
            <w:r>
              <w:rPr>
                <w:rFonts w:ascii="微軟正黑體" w:hAnsi="微軟正黑體"/>
                <w:color w:val="1E1E1E"/>
                <w:sz w:val="18"/>
              </w:rPr>
              <w:t>市場價值基準 (Market Value)</w:t>
            </w:r>
          </w:p>
        </w:tc>
        <w:tc>
          <w:tcPr>
            <w:tcW w:type="dxa" w:w="1584"/>
            <w:shd w:fill="F8FAFC"/>
            <w:tcMar>
              <w:top w:w="100" w:type="dxa"/>
              <w:bottom w:w="100" w:type="dxa"/>
              <w:left w:w="120" w:type="dxa"/>
              <w:right w:w="120" w:type="dxa"/>
            </w:tcMar>
          </w:tcPr>
          <w:p>
            <w:pPr>
              <w:jc w:val="right"/>
            </w:pPr>
            <w:r>
              <w:rPr>
                <w:rFonts w:ascii="微軟正黑體" w:hAnsi="微軟正黑體"/>
                <w:color w:val="1E1E1E"/>
                <w:sz w:val="18"/>
              </w:rPr>
              <w:t>$31.0 億美元</w:t>
            </w:r>
          </w:p>
        </w:tc>
        <w:tc>
          <w:tcPr>
            <w:tcW w:type="dxa" w:w="1584"/>
            <w:shd w:fill="F8FAFC"/>
            <w:tcMar>
              <w:top w:w="100" w:type="dxa"/>
              <w:bottom w:w="100" w:type="dxa"/>
              <w:left w:w="120" w:type="dxa"/>
              <w:right w:w="120" w:type="dxa"/>
            </w:tcMar>
          </w:tcPr>
          <w:p>
            <w:pPr>
              <w:jc w:val="right"/>
            </w:pPr>
            <w:r>
              <w:rPr>
                <w:rFonts w:ascii="微軟正黑體" w:hAnsi="微軟正黑體"/>
                <w:color w:val="1E1E1E"/>
                <w:sz w:val="18"/>
              </w:rPr>
              <w:t>$87.5 億美元</w:t>
            </w:r>
          </w:p>
        </w:tc>
        <w:tc>
          <w:tcPr>
            <w:tcW w:type="dxa" w:w="1584"/>
            <w:shd w:fill="F8FAFC"/>
            <w:tcMar>
              <w:top w:w="100" w:type="dxa"/>
              <w:bottom w:w="100" w:type="dxa"/>
              <w:left w:w="120" w:type="dxa"/>
              <w:right w:w="120" w:type="dxa"/>
            </w:tcMar>
          </w:tcPr>
          <w:p>
            <w:pPr>
              <w:jc w:val="right"/>
            </w:pPr>
            <w:r>
              <w:rPr>
                <w:rFonts w:ascii="微軟正黑體" w:hAnsi="微軟正黑體"/>
                <w:color w:val="1E1E1E"/>
                <w:sz w:val="18"/>
              </w:rPr>
              <w:t>$118.5 億美元</w:t>
            </w:r>
          </w:p>
        </w:tc>
        <w:tc>
          <w:tcPr>
            <w:tcW w:type="dxa" w:w="1440"/>
            <w:shd w:fill="F8FAFC"/>
            <w:tcMar>
              <w:top w:w="100" w:type="dxa"/>
              <w:bottom w:w="100" w:type="dxa"/>
              <w:left w:w="120" w:type="dxa"/>
              <w:right w:w="120" w:type="dxa"/>
            </w:tcMar>
          </w:tcPr>
          <w:p>
            <w:pPr>
              <w:jc w:val="right"/>
            </w:pPr>
            <w:r>
              <w:rPr>
                <w:rFonts w:ascii="微軟正黑體" w:hAnsi="微軟正黑體"/>
                <w:color w:val="1E1E1E"/>
                <w:sz w:val="18"/>
              </w:rPr>
              <w:t>26.16%</w:t>
            </w:r>
          </w:p>
        </w:tc>
        <w:tc>
          <w:tcPr>
            <w:tcW w:type="dxa" w:w="1440"/>
            <w:shd w:fill="F8FAFC"/>
            <w:tcMar>
              <w:top w:w="100" w:type="dxa"/>
              <w:bottom w:w="100" w:type="dxa"/>
              <w:left w:w="120" w:type="dxa"/>
              <w:right w:w="120" w:type="dxa"/>
            </w:tcMar>
          </w:tcPr>
          <w:p>
            <w:pPr>
              <w:jc w:val="right"/>
            </w:pPr>
            <w:r>
              <w:rPr>
                <w:rFonts w:ascii="微軟正黑體" w:hAnsi="微軟正黑體"/>
                <w:color w:val="1E1E1E"/>
                <w:sz w:val="18"/>
              </w:rPr>
              <w:t>73.84%</w:t>
            </w:r>
          </w:p>
        </w:tc>
      </w:tr>
      <w:tr>
        <w:tc>
          <w:tcPr>
            <w:tcW w:type="dxa" w:w="2592"/>
            <w:shd w:fill="FFFFFF"/>
            <w:tcMar>
              <w:top w:w="100" w:type="dxa"/>
              <w:bottom w:w="100" w:type="dxa"/>
              <w:left w:w="120" w:type="dxa"/>
              <w:right w:w="120" w:type="dxa"/>
            </w:tcMar>
          </w:tcPr>
          <w:p>
            <w:pPr>
              <w:jc w:val="left"/>
            </w:pPr>
            <w:r>
              <w:rPr>
                <w:rFonts w:ascii="微軟正黑體" w:hAnsi="微軟正黑體"/>
                <w:color w:val="1E1E1E"/>
                <w:sz w:val="18"/>
              </w:rPr>
              <w:t>差異幅度 (Market - Book)</w:t>
            </w:r>
          </w:p>
        </w:tc>
        <w:tc>
          <w:tcPr>
            <w:tcW w:type="dxa" w:w="1584"/>
            <w:shd w:fill="FFFFFF"/>
            <w:tcMar>
              <w:top w:w="100" w:type="dxa"/>
              <w:bottom w:w="100" w:type="dxa"/>
              <w:left w:w="120" w:type="dxa"/>
              <w:right w:w="120" w:type="dxa"/>
            </w:tcMar>
          </w:tcPr>
          <w:p>
            <w:pPr>
              <w:jc w:val="right"/>
            </w:pPr>
            <w:r>
              <w:rPr>
                <w:rFonts w:ascii="微軟正黑體" w:hAnsi="微軟正黑體"/>
                <w:color w:val="1E1E1E"/>
                <w:sz w:val="18"/>
              </w:rPr>
              <w:t>+$1.0 億美元</w:t>
            </w:r>
          </w:p>
        </w:tc>
        <w:tc>
          <w:tcPr>
            <w:tcW w:type="dxa" w:w="1584"/>
            <w:shd w:fill="FFFFFF"/>
            <w:tcMar>
              <w:top w:w="100" w:type="dxa"/>
              <w:bottom w:w="100" w:type="dxa"/>
              <w:left w:w="120" w:type="dxa"/>
              <w:right w:w="120" w:type="dxa"/>
            </w:tcMar>
          </w:tcPr>
          <w:p>
            <w:pPr>
              <w:jc w:val="right"/>
            </w:pPr>
            <w:r>
              <w:rPr>
                <w:rFonts w:ascii="微軟正黑體" w:hAnsi="微軟正黑體"/>
                <w:color w:val="1E1E1E"/>
                <w:sz w:val="18"/>
              </w:rPr>
              <w:t>+$42.5 億美元</w:t>
            </w:r>
          </w:p>
        </w:tc>
        <w:tc>
          <w:tcPr>
            <w:tcW w:type="dxa" w:w="1584"/>
            <w:shd w:fill="FFFFFF"/>
            <w:tcMar>
              <w:top w:w="100" w:type="dxa"/>
              <w:bottom w:w="100" w:type="dxa"/>
              <w:left w:w="120" w:type="dxa"/>
              <w:right w:w="120" w:type="dxa"/>
            </w:tcMar>
          </w:tcPr>
          <w:p>
            <w:pPr>
              <w:jc w:val="right"/>
            </w:pPr>
            <w:r>
              <w:rPr>
                <w:rFonts w:ascii="微軟正黑體" w:hAnsi="微軟正黑體"/>
                <w:color w:val="1E1E1E"/>
                <w:sz w:val="18"/>
              </w:rPr>
              <w:t>+$43.5 億美元</w:t>
            </w:r>
          </w:p>
        </w:tc>
        <w:tc>
          <w:tcPr>
            <w:tcW w:type="dxa" w:w="1440"/>
            <w:shd w:fill="FFFFFF"/>
            <w:tcMar>
              <w:top w:w="100" w:type="dxa"/>
              <w:bottom w:w="100" w:type="dxa"/>
              <w:left w:w="120" w:type="dxa"/>
              <w:right w:w="120" w:type="dxa"/>
            </w:tcMar>
          </w:tcPr>
          <w:p>
            <w:pPr>
              <w:jc w:val="right"/>
            </w:pPr>
            <w:r>
              <w:rPr>
                <w:rFonts w:ascii="微軟正黑體" w:hAnsi="微軟正黑體"/>
                <w:color w:val="1E1E1E"/>
                <w:sz w:val="18"/>
              </w:rPr>
              <w:t>-13.84%</w:t>
            </w:r>
          </w:p>
        </w:tc>
        <w:tc>
          <w:tcPr>
            <w:tcW w:type="dxa" w:w="1440"/>
            <w:shd w:fill="FFFFFF"/>
            <w:tcMar>
              <w:top w:w="100" w:type="dxa"/>
              <w:bottom w:w="100" w:type="dxa"/>
              <w:left w:w="120" w:type="dxa"/>
              <w:right w:w="120" w:type="dxa"/>
            </w:tcMar>
          </w:tcPr>
          <w:p>
            <w:pPr>
              <w:jc w:val="right"/>
            </w:pPr>
            <w:r>
              <w:rPr>
                <w:rFonts w:ascii="微軟正黑體" w:hAnsi="微軟正黑體"/>
                <w:color w:val="1E1E1E"/>
                <w:sz w:val="18"/>
              </w:rPr>
              <w:t>+13.84%</w:t>
            </w:r>
          </w:p>
        </w:tc>
      </w:tr>
    </w:tbl>
    <w:p>
      <w:pPr>
        <w:spacing w:before="0" w:after="120" w:line="276" w:lineRule="auto"/>
      </w:pPr>
      <w:r>
        <w:rPr>
          <w:rFonts w:ascii="微軟正黑體" w:hAnsi="微軟正黑體"/>
          <w:b w:val="0"/>
          <w:i w:val="0"/>
          <w:color w:val="222222"/>
          <w:sz w:val="20"/>
        </w:rPr>
        <w:t>差異核心原因：</w:t>
        <w:br/>
        <w:t>股權帳面價值僅反映歷史出資額與累積未分配盈餘，完全忽略了公司多年建立的品牌價值、客戶關係、專利技術、管理效率等『無形資產』與未來的成長機會（Growth Options）。市場投資人對 Dell 的未來現金流充滿信心，因此給予其高達 1.94 倍的市淨率（P/B Ratio = $87.5 / $45.0 ≈ 1.94），導致市場權重中股權比例大幅上升至 73.84%。</w:t>
      </w:r>
    </w:p>
    <w:p>
      <w:pPr>
        <w:keepNext/>
        <w:spacing w:before="240" w:after="120"/>
      </w:pPr>
      <w:r>
        <w:rPr>
          <w:rFonts w:ascii="微軟正黑體" w:hAnsi="微軟正黑體"/>
          <w:b/>
          <w:color w:val="2C5E8A"/>
          <w:sz w:val="24"/>
        </w:rPr>
        <w:t>問題二解答：股利折現模型（DDM）在科技業之適用性分析</w:t>
      </w:r>
    </w:p>
    <w:p>
      <w:pPr>
        <w:spacing w:before="0" w:after="120" w:line="276" w:lineRule="auto"/>
      </w:pPr>
      <w:r>
        <w:rPr>
          <w:rFonts w:ascii="微軟正黑體" w:hAnsi="微軟正黑體"/>
          <w:b w:val="0"/>
          <w:i w:val="0"/>
          <w:color w:val="222222"/>
          <w:sz w:val="20"/>
        </w:rPr>
        <w:t>股利折現模型公式為：$R_e = \frac{D_1}{P_0} + g$（其中 $D_1$ 為預期次期股利，$g$ 為固定股利成長率）。</w:t>
        <w:br/>
        <w:t>該模型在評估高科技電腦產業時存在嚴重的結構性缺陷，完全不適用：</w:t>
      </w:r>
    </w:p>
    <w:p>
      <w:pPr>
        <w:pStyle w:val="ListBullet"/>
        <w:spacing w:before="20" w:after="60" w:line="276" w:lineRule="auto"/>
      </w:pPr>
      <w:r>
        <w:rPr>
          <w:rFonts w:ascii="微軟正黑體" w:hAnsi="微軟正黑體"/>
          <w:b/>
          <w:color w:val="1B365D"/>
          <w:sz w:val="20"/>
        </w:rPr>
        <w:t>1. 許多科技公司不發放股利（零股利）：</w:t>
      </w:r>
      <w:r>
        <w:rPr>
          <w:rFonts w:ascii="微軟正黑體" w:hAnsi="微軟正黑體"/>
          <w:color w:val="282828"/>
          <w:sz w:val="20"/>
        </w:rPr>
        <w:t>科技產業具備高度成長性與龐大研發需求，絕大多數企業將全部自由現金流用於再投資或股票回購，不發放任何現金股利（$D_1 = 0$），導致 DDM 模型數學上無法運算。</w:t>
      </w:r>
    </w:p>
    <w:p>
      <w:pPr>
        <w:pStyle w:val="ListBullet"/>
        <w:spacing w:before="20" w:after="60" w:line="276" w:lineRule="auto"/>
      </w:pPr>
      <w:r>
        <w:rPr>
          <w:rFonts w:ascii="微軟正黑體" w:hAnsi="微軟正黑體"/>
          <w:b/>
          <w:color w:val="1B365D"/>
          <w:sz w:val="20"/>
        </w:rPr>
        <w:t>2. 股利發放極不穩定且缺乏持續性：</w:t>
      </w:r>
      <w:r>
        <w:rPr>
          <w:rFonts w:ascii="微軟正黑體" w:hAnsi="微軟正黑體"/>
          <w:color w:val="282828"/>
          <w:sz w:val="20"/>
        </w:rPr>
        <w:t>即使部分成熟科技公司發放股利，其股利政策亦常隨景氣循環或資本支出劇烈波動，根本不符合模型要求的『永續固定成長率（Constant Growth g）』基本假設。</w:t>
      </w:r>
    </w:p>
    <w:p>
      <w:pPr>
        <w:pStyle w:val="ListBullet"/>
        <w:spacing w:before="20" w:after="60" w:line="276" w:lineRule="auto"/>
      </w:pPr>
      <w:r>
        <w:rPr>
          <w:rFonts w:ascii="微軟正黑體" w:hAnsi="微軟正黑體"/>
          <w:b/>
          <w:color w:val="1B365D"/>
          <w:sz w:val="20"/>
        </w:rPr>
        <w:t>3. 成長率 g 的估算高度敏感：</w:t>
      </w:r>
      <w:r>
        <w:rPr>
          <w:rFonts w:ascii="微軟正黑體" w:hAnsi="微軟正黑體"/>
          <w:color w:val="282828"/>
          <w:sz w:val="20"/>
        </w:rPr>
        <w:t>若預估的成長率 $g$ 接近或大於要求報酬率 $R_e$，分母將趨近於零或為負值，導致計算出的資本成本失去經濟意義。因此，科技業估算股權成本一律以【CAPM 模型】為黃金標準。</w:t>
      </w:r>
    </w:p>
    <w:p>
      <w:pPr>
        <w:keepNext/>
        <w:spacing w:before="240" w:after="120"/>
      </w:pPr>
      <w:r>
        <w:rPr>
          <w:rFonts w:ascii="微軟正黑體" w:hAnsi="微軟正黑體"/>
          <w:b/>
          <w:color w:val="2C5E8A"/>
          <w:sz w:val="24"/>
        </w:rPr>
        <w:t>問題三解答：Dell 資本成本組件計算（CAPM 與稅後負債）</w:t>
      </w:r>
    </w:p>
    <w:p>
      <w:pPr>
        <w:spacing w:before="0" w:after="120" w:line="276" w:lineRule="auto"/>
      </w:pPr>
      <w:r>
        <w:rPr>
          <w:rFonts w:ascii="微軟正黑體" w:hAnsi="微軟正黑體"/>
          <w:b w:val="0"/>
          <w:i w:val="0"/>
          <w:color w:val="222222"/>
          <w:sz w:val="20"/>
        </w:rPr>
        <w:t>1. 股權資本成本（$R_e$）計算（利用 CAPM）：</w:t>
        <w:br/>
        <w:t>$$R_e = R_f + \beta_L \times [E(R_m) - R_f]$$</w:t>
        <w:br/>
        <w:t>• 無風險利率 $R_f = 3.50\%$</w:t>
        <w:br/>
        <w:t>• 歷史槓桿貝塔值 $\beta_L = 1.25$</w:t>
        <w:br/>
        <w:t>• 市場風險溢酬 $MRP = E(R_m) - R_f = 11.00\% - 3.50\% = 7.50\%$</w:t>
        <w:br/>
        <w:t>$$R_e = 3.50\% + 1.25 \times 7.50\% = 3.50\% + 9.375\% = 12.875\%$$</w:t>
        <w:br/>
        <w:br/>
        <w:t>2. 稅後債務資本成本（After-tax Cost of Debt）：</w:t>
        <w:br/>
        <w:t>• 稅前債務成本（YTM）$R_d = 6.50\%$</w:t>
        <w:br/>
        <w:t>• 企業所得稅率 $T_c = 35.0\%$</w:t>
        <w:br/>
        <w:t>$$\text{稅後 } R_d = R_d \times (1 - T_c) = 6.50\% \times (1 - 0.35) = 6.50\% \times 0.65 = 4.225\%$$</w:t>
      </w:r>
    </w:p>
    <w:p>
      <w:pPr>
        <w:keepNext/>
        <w:spacing w:before="240" w:after="120"/>
      </w:pPr>
      <w:r>
        <w:rPr>
          <w:rFonts w:ascii="微軟正黑體" w:hAnsi="微軟正黑體"/>
          <w:b/>
          <w:color w:val="2C5E8A"/>
          <w:sz w:val="24"/>
        </w:rPr>
        <w:t>問題四解答：WACC 計算與權重選擇理論論證</w:t>
      </w:r>
    </w:p>
    <w:p>
      <w:pPr>
        <w:spacing w:before="0" w:after="120" w:line="276" w:lineRule="auto"/>
      </w:pPr>
      <w:r>
        <w:rPr>
          <w:rFonts w:ascii="微軟正黑體" w:hAnsi="微軟正黑體"/>
          <w:b w:val="0"/>
          <w:i w:val="0"/>
          <w:color w:val="222222"/>
          <w:sz w:val="20"/>
        </w:rPr>
        <w:t>1. 依兩種不同權重計算 Dell 的 WACC：</w:t>
        <w:br/>
        <w:br/>
        <w:t>• 帳面價值權重 WACC：</w:t>
        <w:br/>
        <w:t>$$\text{WACC}_{BV} = (0.6000 \times 12.875\%) + (0.4000 \times 4.225\%) = 7.725\% + 1.690\% = 9.415\%$$</w:t>
        <w:br/>
        <w:br/>
        <w:t>• 市場價值權重 WACC：</w:t>
        <w:br/>
        <w:t>$$\text{WACC}_{MV} = (0.7384 \times 12.875\%) + (0.2616 \times 4.225\%) = 9.5069\% + 1.1053\% = 10.6122\% \approx 10.61\%$$</w:t>
      </w:r>
    </w:p>
    <w:tbl>
      <w:tblPr>
        <w:tblW w:type="auto" w:w="0"/>
        <w:jc w:val="center"/>
        <w:tblLook w:firstColumn="1" w:firstRow="1" w:lastColumn="0" w:lastRow="0" w:noHBand="0" w:noVBand="1" w:val="04A0"/>
      </w:tblPr>
      <w:tblGrid>
        <w:gridCol w:w="9648"/>
      </w:tblGrid>
      <w:tr>
        <w:tc>
          <w:tcPr>
            <w:tcW w:type="dxa" w:w="9648"/>
            <w:shd w:fill="F0F4F8"/>
            <w:tcMar>
              <w:top w:w="140" w:type="dxa"/>
              <w:bottom w:w="140" w:type="dxa"/>
              <w:left w:w="180" w:type="dxa"/>
              <w:right w:w="180" w:type="dxa"/>
            </w:tcMar>
            <w:tcBorders>
              <w:top w:val="none" w:sz="4" w:space="0" w:color="auto"/>
              <w:left w:val="single" w:sz="24" w:space="0" w:color="1B365D"/>
              <w:bottom w:val="none" w:sz="4" w:space="0" w:color="auto"/>
              <w:right w:val="none" w:sz="4" w:space="0" w:color="auto"/>
            </w:tcBorders>
          </w:tcPr>
          <w:p>
            <w:pPr>
              <w:spacing w:before="0" w:after="80"/>
            </w:pPr>
            <w:r>
              <w:rPr>
                <w:rFonts w:ascii="微軟正黑體" w:hAnsi="微軟正黑體"/>
                <w:b/>
                <w:color w:val="1B365D"/>
                <w:sz w:val="21"/>
              </w:rPr>
              <w:t>📌 資本成本理論核心：為什麼必須使用市場價值權重？</w:t>
            </w:r>
          </w:p>
          <w:p>
            <w:pPr>
              <w:spacing w:before="20" w:after="60" w:line="276" w:lineRule="auto"/>
            </w:pPr>
            <w:r>
              <w:rPr>
                <w:rFonts w:ascii="微軟正黑體" w:hAnsi="微軟正黑體"/>
                <w:color w:val="2D3748"/>
                <w:sz w:val="19"/>
              </w:rPr>
              <w:t>1. 【資本成本是前瞻性的機會成本】：資本成本衡量的是公司『今天要在金融市場上發行新股票或新債券以籌集 1 美元資金，所必須付給投資人的邊際期望報酬率』。投資人是依據當前市場價格買入證券，其要求回報亦是建立在當前市值之上，與公司過去歷史帳面上記載的古老出資額完全無關。</w:t>
            </w:r>
          </w:p>
          <w:p>
            <w:pPr>
              <w:spacing w:before="20" w:after="60" w:line="276" w:lineRule="auto"/>
            </w:pPr>
            <w:r>
              <w:rPr>
                <w:rFonts w:ascii="微軟正黑體" w:hAnsi="微軟正黑體"/>
                <w:color w:val="2D3748"/>
                <w:sz w:val="19"/>
              </w:rPr>
              <w:t>2. 【經濟真實性】：若使用帳面價值 WACC（9.415%），嚴重低估了公司真實的加權資金成本（低估了 120 個基點！）。這會導致管理層在評估資本預算時採用過於寬鬆的折現率，將許多內部報酬率低於真實資本成本（例如 IRR 為 10%）的『實質毀損股東價值專案』錯誤核准，摧毀企業價值。</w:t>
            </w:r>
          </w:p>
          <w:p>
            <w:pPr>
              <w:spacing w:before="20" w:after="60" w:line="276" w:lineRule="auto"/>
            </w:pPr>
            <w:r>
              <w:rPr>
                <w:rFonts w:ascii="微軟正黑體" w:hAnsi="微軟正黑體"/>
                <w:color w:val="2D3748"/>
                <w:sz w:val="19"/>
              </w:rPr>
              <w:t>3. 【結論】：在現代企業財務學與投資銀行實務中，計算 WACC 唯一具有理論合法性與決策正確性的標準，【絕對是市場價值權重】！</w:t>
            </w:r>
          </w:p>
        </w:tc>
      </w:tr>
    </w:tbl>
    <w:p>
      <w:pPr>
        <w:keepNext/>
        <w:spacing w:before="240" w:after="120"/>
      </w:pPr>
      <w:r>
        <w:rPr>
          <w:rFonts w:ascii="微軟正黑體" w:hAnsi="微軟正黑體"/>
          <w:b/>
          <w:color w:val="2C5E8A"/>
          <w:sz w:val="24"/>
        </w:rPr>
        <w:t>問題五解答：純業務法之局限性及對 HCI 專屬 WACC 的調整</w:t>
      </w:r>
    </w:p>
    <w:p>
      <w:pPr>
        <w:spacing w:before="0" w:after="120" w:line="276" w:lineRule="auto"/>
      </w:pPr>
      <w:r>
        <w:rPr>
          <w:rFonts w:ascii="微軟正黑體" w:hAnsi="微軟正黑體"/>
          <w:b w:val="0"/>
          <w:i w:val="0"/>
          <w:color w:val="222222"/>
          <w:sz w:val="20"/>
        </w:rPr>
        <w:t>直接套用 Dell 的 WACC（10.61%）評估 HCI 專案存在四大嚴重缺陷：</w:t>
        <w:br/>
        <w:t>① 資本結構不匹配：Dell 的市場負債比為 26.16%，而 HCI 目標負債比為 30.00%（D/E = 42.86%）；</w:t>
        <w:br/>
        <w:t>② 信用評等與借款利差不同：HCI 身為中小型非上市公司，銀行借款利率為 7.20%，高於 Dell 的 6.50%；</w:t>
        <w:br/>
        <w:t>③ 規模效應差異（Size Effect）：大型跨國企業具有全球採購定價權與抗風險韌性，小型企業承擔更高的經營脆弱性；</w:t>
        <w:br/>
        <w:t>④ 缺乏流動性（Illiquidity）：HCI 的股東無法隨時在市場變現套現，必須給予流動性風險補償。</w:t>
        <w:br/>
        <w:br/>
        <w:t>【專業投行標準調整四部曲】：</w:t>
      </w:r>
    </w:p>
    <w:p>
      <w:pPr>
        <w:spacing w:before="0" w:after="120" w:line="276" w:lineRule="auto"/>
      </w:pPr>
      <w:r>
        <w:rPr>
          <w:rFonts w:ascii="微軟正黑體" w:hAnsi="微軟正黑體"/>
          <w:b w:val="0"/>
          <w:i w:val="0"/>
          <w:color w:val="222222"/>
          <w:sz w:val="20"/>
        </w:rPr>
        <w:t>步驟 A：將 Dell 的槓桿 Beta 去槓桿化（Unlevering Beta）</w:t>
        <w:br/>
        <w:t>從 Dell 的股票貝塔中剝離其財務槓桿，求出電腦產業的純粹資產貝塔（$\beta_U$）：</w:t>
        <w:br/>
        <w:t>• Dell 的市場債股比 $(D/E)_{Dell} = \$31.0 / \$87.5 \approx 0.3543$</w:t>
        <w:br/>
        <w:t>$$\beta_U = \frac{\beta_L}{1 + (1 - T_c) \times (D/E)_{Dell}} = \frac{1.25}{1 + (1 - 0.35) \times 0.3543} = \frac{1.25}{1 + 0.65 \times 0.3543} = \frac{1.25}{1.2303} \approx 1.0160$$</w:t>
        <w:br/>
        <w:t>這代表電腦製造與 IT 解決方案產業的純粹經營風險貝塔值為 1.0160。</w:t>
      </w:r>
    </w:p>
    <w:p>
      <w:pPr>
        <w:spacing w:before="0" w:after="120" w:line="276" w:lineRule="auto"/>
      </w:pPr>
      <w:r>
        <w:rPr>
          <w:rFonts w:ascii="微軟正黑體" w:hAnsi="微軟正黑體"/>
          <w:b w:val="0"/>
          <w:i w:val="0"/>
          <w:color w:val="222222"/>
          <w:sz w:val="20"/>
        </w:rPr>
        <w:t>步驟 B：按 HCI 目標資本結構重新加槓桿（Relevering Beta）</w:t>
        <w:br/>
        <w:t>HCI 目標負債比率 $D/V = 30.0\%$，股權比率 $E/V = 70.0\%$，其目標債股比為：</w:t>
        <w:br/>
        <w:t>$$(D/E)_{HCI} = \frac{30\%}{70\%} = \frac{3}{7} \approx 0.4286$$</w:t>
        <w:br/>
        <w:t>使用 Hamada 方程計算 HCI 的目標槓桿貝塔值：</w:t>
        <w:br/>
        <w:t>$$\beta_{L, HCI} = \beta_U \times [1 + (1 - T_c) \times (D/E)_{HCI}] = 1.0160 \times [1 + (1 - 0.35) \times 0.4286]$$</w:t>
        <w:br/>
        <w:t>$$\beta_{L, HCI} = 1.0160 \times [1 + 0.65 \times 0.4286] = 1.0160 \times [1 + 0.2786] = 1.0160 \times 1.2786 \approx 1.2991$$</w:t>
      </w:r>
    </w:p>
    <w:p>
      <w:pPr>
        <w:spacing w:before="0" w:after="120" w:line="276" w:lineRule="auto"/>
      </w:pPr>
      <w:r>
        <w:rPr>
          <w:rFonts w:ascii="微軟正黑體" w:hAnsi="微軟正黑體"/>
          <w:b w:val="0"/>
          <w:i w:val="0"/>
          <w:color w:val="222222"/>
          <w:sz w:val="20"/>
        </w:rPr>
        <w:t>步驟 C：納入規模溢價與非流動性溢價，計算 HCI 的股權資本成本（$R_{e, HCI}$）</w:t>
        <w:br/>
        <w:t>採用擴充型 CAPM 模型（Build-Up / Extended CAPM）：</w:t>
        <w:br/>
        <w:t>$$R_{e, HCI} = R_f + \beta_{L, HCI} \times MRP + \text{規模溢價 (s)} + \text{非流動性溢價 (i)}$$</w:t>
        <w:br/>
        <w:t>• $R_f = 3.50\%$</w:t>
        <w:br/>
        <w:t>• $\beta_{L, HCI} \times MRP = 1.2991 \times 7.50\% \approx 9.7433\%$</w:t>
        <w:br/>
        <w:t>• 規模溢價 $s = 2.50\%$</w:t>
        <w:br/>
        <w:t>• 非流動性溢價 $i = 1.50\%$</w:t>
        <w:br/>
        <w:t>$$R_{e, HCI} = 3.50\% + 9.7433\% + 2.50\% + 1.50\% = 17.2433\% \approx 17.24\%$$</w:t>
      </w:r>
    </w:p>
    <w:p>
      <w:pPr>
        <w:spacing w:before="0" w:after="120" w:line="276" w:lineRule="auto"/>
      </w:pPr>
      <w:r>
        <w:rPr>
          <w:rFonts w:ascii="微軟正黑體" w:hAnsi="微軟正黑體"/>
          <w:b w:val="0"/>
          <w:i w:val="0"/>
          <w:color w:val="222222"/>
          <w:sz w:val="20"/>
        </w:rPr>
        <w:t>步驟 D：計算 HCI 自身最終 WACC</w:t>
        <w:br/>
        <w:t>• HCI 稅後債務資本成本 $= R_{d, HCI} \times (1 - T_c) = 7.20\% \times (1 - 0.35) = 7.20\% \times 0.65 = 4.68\%$</w:t>
        <w:br/>
        <w:t>• 依 HCI 目標權重（$w_e = 70\%$, $w_d = 30\%$）加權求和：</w:t>
        <w:br/>
        <w:t>$$\text{WACC}_{HCI} = (0.70 \times R_{e, HCI}) + (0.30 \times \text{稅後 } R_{d, HCI})$$</w:t>
        <w:br/>
        <w:t>$$\text{WACC}_{HCI} = (0.70 \times 17.2433\%) + (0.30 \times 4.68\%) = 12.0703\% + 1.4040\% = 13.4743\% \approx 13.47\%$$</w:t>
      </w:r>
    </w:p>
    <w:tbl>
      <w:tblPr>
        <w:tblW w:type="auto" w:w="0"/>
        <w:jc w:val="center"/>
        <w:tblLook w:firstColumn="1" w:firstRow="1" w:lastColumn="0" w:lastRow="0" w:noHBand="0" w:noVBand="1" w:val="04A0"/>
      </w:tblPr>
      <w:tblGrid>
        <w:gridCol w:w="2412"/>
        <w:gridCol w:w="2412"/>
        <w:gridCol w:w="2412"/>
        <w:gridCol w:w="2412"/>
      </w:tblGrid>
      <w:tr>
        <w:tc>
          <w:tcPr>
            <w:tcW w:type="dxa" w:w="3024"/>
            <w:shd w:fill="1B365D"/>
            <w:tcMar>
              <w:top w:w="120" w:type="dxa"/>
              <w:bottom w:w="120" w:type="dxa"/>
              <w:left w:w="120" w:type="dxa"/>
              <w:right w:w="120" w:type="dxa"/>
            </w:tcMar>
          </w:tcPr>
          <w:p>
            <w:pPr>
              <w:jc w:val="center"/>
            </w:pPr>
            <w:r>
              <w:rPr>
                <w:rFonts w:ascii="微軟正黑體" w:hAnsi="微軟正黑體"/>
                <w:b/>
                <w:color w:val="FFFFFF"/>
                <w:sz w:val="19"/>
              </w:rPr>
              <w:t>估值階段 / 調整參數</w:t>
            </w:r>
          </w:p>
        </w:tc>
        <w:tc>
          <w:tcPr>
            <w:tcW w:type="dxa" w:w="1872"/>
            <w:shd w:fill="1B365D"/>
            <w:tcMar>
              <w:top w:w="120" w:type="dxa"/>
              <w:bottom w:w="120" w:type="dxa"/>
              <w:left w:w="120" w:type="dxa"/>
              <w:right w:w="120" w:type="dxa"/>
            </w:tcMar>
          </w:tcPr>
          <w:p>
            <w:pPr>
              <w:jc w:val="center"/>
            </w:pPr>
            <w:r>
              <w:rPr>
                <w:rFonts w:ascii="微軟正黑體" w:hAnsi="微軟正黑體"/>
                <w:b/>
                <w:color w:val="FFFFFF"/>
                <w:sz w:val="19"/>
              </w:rPr>
              <w:t>Dell Inc. (公開標竿)</w:t>
            </w:r>
          </w:p>
        </w:tc>
        <w:tc>
          <w:tcPr>
            <w:tcW w:type="dxa" w:w="2016"/>
            <w:shd w:fill="1B365D"/>
            <w:tcMar>
              <w:top w:w="120" w:type="dxa"/>
              <w:bottom w:w="120" w:type="dxa"/>
              <w:left w:w="120" w:type="dxa"/>
              <w:right w:w="120" w:type="dxa"/>
            </w:tcMar>
          </w:tcPr>
          <w:p>
            <w:pPr>
              <w:jc w:val="center"/>
            </w:pPr>
            <w:r>
              <w:rPr>
                <w:rFonts w:ascii="微軟正黑體" w:hAnsi="微軟正黑體"/>
                <w:b/>
                <w:color w:val="FFFFFF"/>
                <w:sz w:val="19"/>
              </w:rPr>
              <w:t>HCI (目標私營企業)</w:t>
            </w:r>
          </w:p>
        </w:tc>
        <w:tc>
          <w:tcPr>
            <w:tcW w:type="dxa" w:w="3312"/>
            <w:shd w:fill="1B365D"/>
            <w:tcMar>
              <w:top w:w="120" w:type="dxa"/>
              <w:bottom w:w="120" w:type="dxa"/>
              <w:left w:w="120" w:type="dxa"/>
              <w:right w:w="120" w:type="dxa"/>
            </w:tcMar>
          </w:tcPr>
          <w:p>
            <w:pPr>
              <w:jc w:val="center"/>
            </w:pPr>
            <w:r>
              <w:rPr>
                <w:rFonts w:ascii="微軟正黑體" w:hAnsi="微軟正黑體"/>
                <w:b/>
                <w:color w:val="FFFFFF"/>
                <w:sz w:val="19"/>
              </w:rPr>
              <w:t>財務調整意義說明</w:t>
            </w:r>
          </w:p>
        </w:tc>
      </w:tr>
      <w:tr>
        <w:tc>
          <w:tcPr>
            <w:tcW w:type="dxa" w:w="3024"/>
            <w:shd w:fill="FFFFFF"/>
            <w:tcMar>
              <w:top w:w="100" w:type="dxa"/>
              <w:bottom w:w="100" w:type="dxa"/>
              <w:left w:w="120" w:type="dxa"/>
              <w:right w:w="120" w:type="dxa"/>
            </w:tcMar>
          </w:tcPr>
          <w:p>
            <w:pPr>
              <w:jc w:val="left"/>
            </w:pPr>
            <w:r>
              <w:rPr>
                <w:rFonts w:ascii="微軟正黑體" w:hAnsi="微軟正黑體"/>
                <w:color w:val="1E1E1E"/>
                <w:sz w:val="18"/>
              </w:rPr>
              <w:t>股權貝塔 (Equity Beta, βL)</w:t>
            </w:r>
          </w:p>
        </w:tc>
        <w:tc>
          <w:tcPr>
            <w:tcW w:type="dxa" w:w="1872"/>
            <w:shd w:fill="FFFFFF"/>
            <w:tcMar>
              <w:top w:w="100" w:type="dxa"/>
              <w:bottom w:w="100" w:type="dxa"/>
              <w:left w:w="120" w:type="dxa"/>
              <w:right w:w="120" w:type="dxa"/>
            </w:tcMar>
          </w:tcPr>
          <w:p>
            <w:pPr>
              <w:jc w:val="right"/>
            </w:pPr>
            <w:r>
              <w:rPr>
                <w:rFonts w:ascii="微軟正黑體" w:hAnsi="微軟正黑體"/>
                <w:color w:val="1E1E1E"/>
                <w:sz w:val="18"/>
              </w:rPr>
              <w:t>1.2500</w:t>
            </w:r>
          </w:p>
        </w:tc>
        <w:tc>
          <w:tcPr>
            <w:tcW w:type="dxa" w:w="2016"/>
            <w:shd w:fill="FFFFFF"/>
            <w:tcMar>
              <w:top w:w="100" w:type="dxa"/>
              <w:bottom w:w="100" w:type="dxa"/>
              <w:left w:w="120" w:type="dxa"/>
              <w:right w:w="120" w:type="dxa"/>
            </w:tcMar>
          </w:tcPr>
          <w:p>
            <w:pPr>
              <w:jc w:val="right"/>
            </w:pPr>
            <w:r>
              <w:rPr>
                <w:rFonts w:ascii="微軟正黑體" w:hAnsi="微軟正黑體"/>
                <w:color w:val="1E1E1E"/>
                <w:sz w:val="18"/>
              </w:rPr>
              <w:t>1.2991</w:t>
            </w:r>
          </w:p>
        </w:tc>
        <w:tc>
          <w:tcPr>
            <w:tcW w:type="dxa" w:w="3312"/>
            <w:shd w:fill="FFFFFF"/>
            <w:tcMar>
              <w:top w:w="100" w:type="dxa"/>
              <w:bottom w:w="100" w:type="dxa"/>
              <w:left w:w="120" w:type="dxa"/>
              <w:right w:w="120" w:type="dxa"/>
            </w:tcMar>
          </w:tcPr>
          <w:p>
            <w:pPr>
              <w:jc w:val="right"/>
            </w:pPr>
            <w:r>
              <w:rPr>
                <w:rFonts w:ascii="微軟正黑體" w:hAnsi="微軟正黑體"/>
                <w:color w:val="1E1E1E"/>
                <w:sz w:val="18"/>
              </w:rPr>
              <w:t>反映 HCI 較高的目標負債比 (D/E=42.86%)</w:t>
            </w:r>
          </w:p>
        </w:tc>
      </w:tr>
      <w:tr>
        <w:tc>
          <w:tcPr>
            <w:tcW w:type="dxa" w:w="3024"/>
            <w:shd w:fill="F8FAFC"/>
            <w:tcMar>
              <w:top w:w="100" w:type="dxa"/>
              <w:bottom w:w="100" w:type="dxa"/>
              <w:left w:w="120" w:type="dxa"/>
              <w:right w:w="120" w:type="dxa"/>
            </w:tcMar>
          </w:tcPr>
          <w:p>
            <w:pPr>
              <w:jc w:val="left"/>
            </w:pPr>
            <w:r>
              <w:rPr>
                <w:rFonts w:ascii="微軟正黑體" w:hAnsi="微軟正黑體"/>
                <w:color w:val="1E1E1E"/>
                <w:sz w:val="18"/>
              </w:rPr>
              <w:t>資產貝塔 (Asset Beta, βU)</w:t>
            </w:r>
          </w:p>
        </w:tc>
        <w:tc>
          <w:tcPr>
            <w:tcW w:type="dxa" w:w="1872"/>
            <w:shd w:fill="F8FAFC"/>
            <w:tcMar>
              <w:top w:w="100" w:type="dxa"/>
              <w:bottom w:w="100" w:type="dxa"/>
              <w:left w:w="120" w:type="dxa"/>
              <w:right w:w="120" w:type="dxa"/>
            </w:tcMar>
          </w:tcPr>
          <w:p>
            <w:pPr>
              <w:jc w:val="right"/>
            </w:pPr>
            <w:r>
              <w:rPr>
                <w:rFonts w:ascii="微軟正黑體" w:hAnsi="微軟正黑體"/>
                <w:color w:val="1E1E1E"/>
                <w:sz w:val="18"/>
              </w:rPr>
              <w:t>1.0160</w:t>
            </w:r>
          </w:p>
        </w:tc>
        <w:tc>
          <w:tcPr>
            <w:tcW w:type="dxa" w:w="2016"/>
            <w:shd w:fill="F8FAFC"/>
            <w:tcMar>
              <w:top w:w="100" w:type="dxa"/>
              <w:bottom w:w="100" w:type="dxa"/>
              <w:left w:w="120" w:type="dxa"/>
              <w:right w:w="120" w:type="dxa"/>
            </w:tcMar>
          </w:tcPr>
          <w:p>
            <w:pPr>
              <w:jc w:val="right"/>
            </w:pPr>
            <w:r>
              <w:rPr>
                <w:rFonts w:ascii="微軟正黑體" w:hAnsi="微軟正黑體"/>
                <w:color w:val="1E1E1E"/>
                <w:sz w:val="18"/>
              </w:rPr>
              <w:t>1.0160</w:t>
            </w:r>
          </w:p>
        </w:tc>
        <w:tc>
          <w:tcPr>
            <w:tcW w:type="dxa" w:w="3312"/>
            <w:shd w:fill="F8FAFC"/>
            <w:tcMar>
              <w:top w:w="100" w:type="dxa"/>
              <w:bottom w:w="100" w:type="dxa"/>
              <w:left w:w="120" w:type="dxa"/>
              <w:right w:w="120" w:type="dxa"/>
            </w:tcMar>
          </w:tcPr>
          <w:p>
            <w:pPr>
              <w:jc w:val="left"/>
            </w:pPr>
            <w:r>
              <w:rPr>
                <w:rFonts w:ascii="微軟正黑體" w:hAnsi="微軟正黑體"/>
                <w:color w:val="1E1E1E"/>
                <w:sz w:val="18"/>
              </w:rPr>
              <w:t>純粹產業經營風險對齊 (透過 Hamada 去槓桿)</w:t>
            </w:r>
          </w:p>
        </w:tc>
      </w:tr>
      <w:tr>
        <w:tc>
          <w:tcPr>
            <w:tcW w:type="dxa" w:w="3024"/>
            <w:shd w:fill="FFFFFF"/>
            <w:tcMar>
              <w:top w:w="100" w:type="dxa"/>
              <w:bottom w:w="100" w:type="dxa"/>
              <w:left w:w="120" w:type="dxa"/>
              <w:right w:w="120" w:type="dxa"/>
            </w:tcMar>
          </w:tcPr>
          <w:p>
            <w:pPr>
              <w:jc w:val="left"/>
            </w:pPr>
            <w:r>
              <w:rPr>
                <w:rFonts w:ascii="微軟正黑體" w:hAnsi="微軟正黑體"/>
                <w:color w:val="1E1E1E"/>
                <w:sz w:val="18"/>
              </w:rPr>
              <w:t>額外風險溢酬 (Size + Illiquidity)</w:t>
            </w:r>
          </w:p>
        </w:tc>
        <w:tc>
          <w:tcPr>
            <w:tcW w:type="dxa" w:w="1872"/>
            <w:shd w:fill="FFFFFF"/>
            <w:tcMar>
              <w:top w:w="100" w:type="dxa"/>
              <w:bottom w:w="100" w:type="dxa"/>
              <w:left w:w="120" w:type="dxa"/>
              <w:right w:w="120" w:type="dxa"/>
            </w:tcMar>
          </w:tcPr>
          <w:p>
            <w:pPr>
              <w:jc w:val="right"/>
            </w:pPr>
            <w:r>
              <w:rPr>
                <w:rFonts w:ascii="微軟正黑體" w:hAnsi="微軟正黑體"/>
                <w:color w:val="1E1E1E"/>
                <w:sz w:val="18"/>
              </w:rPr>
              <w:t>0.00%</w:t>
            </w:r>
          </w:p>
        </w:tc>
        <w:tc>
          <w:tcPr>
            <w:tcW w:type="dxa" w:w="2016"/>
            <w:shd w:fill="FFFFFF"/>
            <w:tcMar>
              <w:top w:w="100" w:type="dxa"/>
              <w:bottom w:w="100" w:type="dxa"/>
              <w:left w:w="120" w:type="dxa"/>
              <w:right w:w="120" w:type="dxa"/>
            </w:tcMar>
          </w:tcPr>
          <w:p>
            <w:pPr>
              <w:jc w:val="right"/>
            </w:pPr>
            <w:r>
              <w:rPr>
                <w:rFonts w:ascii="微軟正黑體" w:hAnsi="微軟正黑體"/>
                <w:color w:val="1E1E1E"/>
                <w:sz w:val="18"/>
              </w:rPr>
              <w:t>+4.00% (2.5%+1.5%)</w:t>
            </w:r>
          </w:p>
        </w:tc>
        <w:tc>
          <w:tcPr>
            <w:tcW w:type="dxa" w:w="3312"/>
            <w:shd w:fill="FFFFFF"/>
            <w:tcMar>
              <w:top w:w="100" w:type="dxa"/>
              <w:bottom w:w="100" w:type="dxa"/>
              <w:left w:w="120" w:type="dxa"/>
              <w:right w:w="120" w:type="dxa"/>
            </w:tcMar>
          </w:tcPr>
          <w:p>
            <w:pPr>
              <w:jc w:val="left"/>
            </w:pPr>
            <w:r>
              <w:rPr>
                <w:rFonts w:ascii="微軟正黑體" w:hAnsi="微軟正黑體"/>
                <w:color w:val="1E1E1E"/>
                <w:sz w:val="18"/>
              </w:rPr>
              <w:t>彌補未上市小企業之規模脆弱性與流動性缺失</w:t>
            </w:r>
          </w:p>
        </w:tc>
      </w:tr>
      <w:tr>
        <w:tc>
          <w:tcPr>
            <w:tcW w:type="dxa" w:w="3024"/>
            <w:shd w:fill="F8FAFC"/>
            <w:tcMar>
              <w:top w:w="100" w:type="dxa"/>
              <w:bottom w:w="100" w:type="dxa"/>
              <w:left w:w="120" w:type="dxa"/>
              <w:right w:w="120" w:type="dxa"/>
            </w:tcMar>
          </w:tcPr>
          <w:p>
            <w:pPr>
              <w:jc w:val="left"/>
            </w:pPr>
            <w:r>
              <w:rPr>
                <w:rFonts w:ascii="微軟正黑體" w:hAnsi="微軟正黑體"/>
                <w:color w:val="1E1E1E"/>
                <w:sz w:val="18"/>
              </w:rPr>
              <w:t>股權資本成本 (Re)</w:t>
            </w:r>
          </w:p>
        </w:tc>
        <w:tc>
          <w:tcPr>
            <w:tcW w:type="dxa" w:w="1872"/>
            <w:shd w:fill="F8FAFC"/>
            <w:tcMar>
              <w:top w:w="100" w:type="dxa"/>
              <w:bottom w:w="100" w:type="dxa"/>
              <w:left w:w="120" w:type="dxa"/>
              <w:right w:w="120" w:type="dxa"/>
            </w:tcMar>
          </w:tcPr>
          <w:p>
            <w:pPr>
              <w:jc w:val="right"/>
            </w:pPr>
            <w:r>
              <w:rPr>
                <w:rFonts w:ascii="微軟正黑體" w:hAnsi="微軟正黑體"/>
                <w:color w:val="1E1E1E"/>
                <w:sz w:val="18"/>
              </w:rPr>
              <w:t>12.88%</w:t>
            </w:r>
          </w:p>
        </w:tc>
        <w:tc>
          <w:tcPr>
            <w:tcW w:type="dxa" w:w="2016"/>
            <w:shd w:fill="F8FAFC"/>
            <w:tcMar>
              <w:top w:w="100" w:type="dxa"/>
              <w:bottom w:w="100" w:type="dxa"/>
              <w:left w:w="120" w:type="dxa"/>
              <w:right w:w="120" w:type="dxa"/>
            </w:tcMar>
          </w:tcPr>
          <w:p>
            <w:pPr>
              <w:jc w:val="right"/>
            </w:pPr>
            <w:r>
              <w:rPr>
                <w:rFonts w:ascii="微軟正黑體" w:hAnsi="微軟正黑體"/>
                <w:color w:val="1E1E1E"/>
                <w:sz w:val="18"/>
              </w:rPr>
              <w:t>17.24%</w:t>
            </w:r>
          </w:p>
        </w:tc>
        <w:tc>
          <w:tcPr>
            <w:tcW w:type="dxa" w:w="3312"/>
            <w:shd w:fill="F8FAFC"/>
            <w:tcMar>
              <w:top w:w="100" w:type="dxa"/>
              <w:bottom w:w="100" w:type="dxa"/>
              <w:left w:w="120" w:type="dxa"/>
              <w:right w:w="120" w:type="dxa"/>
            </w:tcMar>
          </w:tcPr>
          <w:p>
            <w:pPr>
              <w:jc w:val="left"/>
            </w:pPr>
            <w:r>
              <w:rPr>
                <w:rFonts w:ascii="微軟正黑體" w:hAnsi="微軟正黑體"/>
                <w:color w:val="1E1E1E"/>
                <w:sz w:val="18"/>
              </w:rPr>
              <w:t>HCI 股權要求回報顯著高於巨型上市龍頭</w:t>
            </w:r>
          </w:p>
        </w:tc>
      </w:tr>
      <w:tr>
        <w:tc>
          <w:tcPr>
            <w:tcW w:type="dxa" w:w="3024"/>
            <w:shd w:fill="FFFFFF"/>
            <w:tcMar>
              <w:top w:w="100" w:type="dxa"/>
              <w:bottom w:w="100" w:type="dxa"/>
              <w:left w:w="120" w:type="dxa"/>
              <w:right w:w="120" w:type="dxa"/>
            </w:tcMar>
          </w:tcPr>
          <w:p>
            <w:pPr>
              <w:jc w:val="left"/>
            </w:pPr>
            <w:r>
              <w:rPr>
                <w:rFonts w:ascii="微軟正黑體" w:hAnsi="微軟正黑體"/>
                <w:color w:val="1E1E1E"/>
                <w:sz w:val="18"/>
              </w:rPr>
              <w:t>稅前債務成本 (Rd)</w:t>
            </w:r>
          </w:p>
        </w:tc>
        <w:tc>
          <w:tcPr>
            <w:tcW w:type="dxa" w:w="1872"/>
            <w:shd w:fill="FFFFFF"/>
            <w:tcMar>
              <w:top w:w="100" w:type="dxa"/>
              <w:bottom w:w="100" w:type="dxa"/>
              <w:left w:w="120" w:type="dxa"/>
              <w:right w:w="120" w:type="dxa"/>
            </w:tcMar>
          </w:tcPr>
          <w:p>
            <w:pPr>
              <w:jc w:val="right"/>
            </w:pPr>
            <w:r>
              <w:rPr>
                <w:rFonts w:ascii="微軟正黑體" w:hAnsi="微軟正黑體"/>
                <w:color w:val="1E1E1E"/>
                <w:sz w:val="18"/>
              </w:rPr>
              <w:t>6.50%</w:t>
            </w:r>
          </w:p>
        </w:tc>
        <w:tc>
          <w:tcPr>
            <w:tcW w:type="dxa" w:w="2016"/>
            <w:shd w:fill="FFFFFF"/>
            <w:tcMar>
              <w:top w:w="100" w:type="dxa"/>
              <w:bottom w:w="100" w:type="dxa"/>
              <w:left w:w="120" w:type="dxa"/>
              <w:right w:w="120" w:type="dxa"/>
            </w:tcMar>
          </w:tcPr>
          <w:p>
            <w:pPr>
              <w:jc w:val="right"/>
            </w:pPr>
            <w:r>
              <w:rPr>
                <w:rFonts w:ascii="微軟正黑體" w:hAnsi="微軟正黑體"/>
                <w:color w:val="1E1E1E"/>
                <w:sz w:val="18"/>
              </w:rPr>
              <w:t>7.20%</w:t>
            </w:r>
          </w:p>
        </w:tc>
        <w:tc>
          <w:tcPr>
            <w:tcW w:type="dxa" w:w="3312"/>
            <w:shd w:fill="FFFFFF"/>
            <w:tcMar>
              <w:top w:w="100" w:type="dxa"/>
              <w:bottom w:w="100" w:type="dxa"/>
              <w:left w:w="120" w:type="dxa"/>
              <w:right w:w="120" w:type="dxa"/>
            </w:tcMar>
          </w:tcPr>
          <w:p>
            <w:pPr>
              <w:jc w:val="left"/>
            </w:pPr>
            <w:r>
              <w:rPr>
                <w:rFonts w:ascii="微軟正黑體" w:hAnsi="微軟正黑體"/>
                <w:color w:val="1E1E1E"/>
                <w:sz w:val="18"/>
              </w:rPr>
              <w:t>中小企業銀行信用借款利差 (+70 bps)</w:t>
            </w:r>
          </w:p>
        </w:tc>
      </w:tr>
      <w:tr>
        <w:tc>
          <w:tcPr>
            <w:tcW w:type="dxa" w:w="3024"/>
            <w:shd w:fill="F8FAFC"/>
            <w:tcMar>
              <w:top w:w="100" w:type="dxa"/>
              <w:bottom w:w="100" w:type="dxa"/>
              <w:left w:w="120" w:type="dxa"/>
              <w:right w:w="120" w:type="dxa"/>
            </w:tcMar>
          </w:tcPr>
          <w:p>
            <w:pPr>
              <w:jc w:val="left"/>
            </w:pPr>
            <w:r>
              <w:rPr>
                <w:rFonts w:ascii="微軟正黑體" w:hAnsi="微軟正黑體"/>
                <w:color w:val="1E1E1E"/>
                <w:sz w:val="18"/>
              </w:rPr>
              <w:t>目標負債權重 (wd)</w:t>
            </w:r>
          </w:p>
        </w:tc>
        <w:tc>
          <w:tcPr>
            <w:tcW w:type="dxa" w:w="1872"/>
            <w:shd w:fill="F8FAFC"/>
            <w:tcMar>
              <w:top w:w="100" w:type="dxa"/>
              <w:bottom w:w="100" w:type="dxa"/>
              <w:left w:w="120" w:type="dxa"/>
              <w:right w:w="120" w:type="dxa"/>
            </w:tcMar>
          </w:tcPr>
          <w:p>
            <w:pPr>
              <w:jc w:val="right"/>
            </w:pPr>
            <w:r>
              <w:rPr>
                <w:rFonts w:ascii="微軟正黑體" w:hAnsi="微軟正黑體"/>
                <w:color w:val="1E1E1E"/>
                <w:sz w:val="18"/>
              </w:rPr>
              <w:t>26.16%</w:t>
            </w:r>
          </w:p>
        </w:tc>
        <w:tc>
          <w:tcPr>
            <w:tcW w:type="dxa" w:w="2016"/>
            <w:shd w:fill="F8FAFC"/>
            <w:tcMar>
              <w:top w:w="100" w:type="dxa"/>
              <w:bottom w:w="100" w:type="dxa"/>
              <w:left w:w="120" w:type="dxa"/>
              <w:right w:w="120" w:type="dxa"/>
            </w:tcMar>
          </w:tcPr>
          <w:p>
            <w:pPr>
              <w:jc w:val="right"/>
            </w:pPr>
            <w:r>
              <w:rPr>
                <w:rFonts w:ascii="微軟正黑體" w:hAnsi="微軟正黑體"/>
                <w:color w:val="1E1E1E"/>
                <w:sz w:val="18"/>
              </w:rPr>
              <w:t>30.00%</w:t>
            </w:r>
          </w:p>
        </w:tc>
        <w:tc>
          <w:tcPr>
            <w:tcW w:type="dxa" w:w="3312"/>
            <w:shd w:fill="F8FAFC"/>
            <w:tcMar>
              <w:top w:w="100" w:type="dxa"/>
              <w:bottom w:w="100" w:type="dxa"/>
              <w:left w:w="120" w:type="dxa"/>
              <w:right w:w="120" w:type="dxa"/>
            </w:tcMar>
          </w:tcPr>
          <w:p>
            <w:pPr>
              <w:jc w:val="left"/>
            </w:pPr>
            <w:r>
              <w:rPr>
                <w:rFonts w:ascii="微軟正黑體" w:hAnsi="微軟正黑體"/>
                <w:color w:val="1E1E1E"/>
                <w:sz w:val="18"/>
              </w:rPr>
              <w:t>符合 HCI 管理層設定之資本結構政策</w:t>
            </w:r>
          </w:p>
        </w:tc>
      </w:tr>
      <w:tr>
        <w:tc>
          <w:tcPr>
            <w:tcW w:type="dxa" w:w="3024"/>
            <w:shd w:fill="FFFFFF"/>
            <w:tcMar>
              <w:top w:w="100" w:type="dxa"/>
              <w:bottom w:w="100" w:type="dxa"/>
              <w:left w:w="120" w:type="dxa"/>
              <w:right w:w="120" w:type="dxa"/>
            </w:tcMar>
          </w:tcPr>
          <w:p>
            <w:pPr>
              <w:jc w:val="left"/>
            </w:pPr>
            <w:r>
              <w:rPr>
                <w:rFonts w:ascii="微軟正黑體" w:hAnsi="微軟正黑體"/>
                <w:color w:val="1E1E1E"/>
                <w:sz w:val="18"/>
              </w:rPr>
              <w:t>最終加權平均資金成本 (WACC)</w:t>
            </w:r>
          </w:p>
        </w:tc>
        <w:tc>
          <w:tcPr>
            <w:tcW w:type="dxa" w:w="1872"/>
            <w:shd w:fill="FFFFFF"/>
            <w:tcMar>
              <w:top w:w="100" w:type="dxa"/>
              <w:bottom w:w="100" w:type="dxa"/>
              <w:left w:w="120" w:type="dxa"/>
              <w:right w:w="120" w:type="dxa"/>
            </w:tcMar>
          </w:tcPr>
          <w:p>
            <w:pPr>
              <w:jc w:val="right"/>
            </w:pPr>
            <w:r>
              <w:rPr>
                <w:rFonts w:ascii="微軟正黑體" w:hAnsi="微軟正黑體"/>
                <w:color w:val="1E1E1E"/>
                <w:sz w:val="18"/>
              </w:rPr>
              <w:t>10.61%</w:t>
            </w:r>
          </w:p>
        </w:tc>
        <w:tc>
          <w:tcPr>
            <w:tcW w:type="dxa" w:w="2016"/>
            <w:shd w:fill="FFFFFF"/>
            <w:tcMar>
              <w:top w:w="100" w:type="dxa"/>
              <w:bottom w:w="100" w:type="dxa"/>
              <w:left w:w="120" w:type="dxa"/>
              <w:right w:w="120" w:type="dxa"/>
            </w:tcMar>
          </w:tcPr>
          <w:p>
            <w:pPr>
              <w:jc w:val="right"/>
            </w:pPr>
            <w:r>
              <w:rPr>
                <w:rFonts w:ascii="微軟正黑體" w:hAnsi="微軟正黑體"/>
                <w:color w:val="1E1E1E"/>
                <w:sz w:val="18"/>
              </w:rPr>
              <w:t>13.47%</w:t>
            </w:r>
          </w:p>
        </w:tc>
        <w:tc>
          <w:tcPr>
            <w:tcW w:type="dxa" w:w="3312"/>
            <w:shd w:fill="FFFFFF"/>
            <w:tcMar>
              <w:top w:w="100" w:type="dxa"/>
              <w:bottom w:w="100" w:type="dxa"/>
              <w:left w:w="120" w:type="dxa"/>
              <w:right w:w="120" w:type="dxa"/>
            </w:tcMar>
          </w:tcPr>
          <w:p>
            <w:pPr>
              <w:jc w:val="right"/>
            </w:pPr>
            <w:r>
              <w:rPr>
                <w:rFonts w:ascii="微軟正黑體" w:hAnsi="微軟正黑體"/>
                <w:color w:val="1E1E1E"/>
                <w:sz w:val="18"/>
              </w:rPr>
              <w:t>【最終評估專案 NPV 應採用 13.47% 作為折現率】</w:t>
            </w:r>
          </w:p>
        </w:tc>
      </w:tr>
    </w:tbl>
    <w:p>
      <w:pPr>
        <w:spacing w:before="0" w:after="120" w:line="276" w:lineRule="auto"/>
      </w:pPr>
      <w:r>
        <w:rPr>
          <w:rFonts w:ascii="微軟正黑體" w:hAnsi="微軟正黑體"/>
          <w:b w:val="0"/>
          <w:i w:val="0"/>
          <w:color w:val="222222"/>
          <w:sz w:val="20"/>
        </w:rPr>
        <w:t>最終教學總結：</w:t>
        <w:br/>
        <w:t>若 HCI 盲目使用 Dell 的 WACC（10.61%）作為折現率，將嚴重低估專案風險（低估近 2.86 個百分點），極易誤採毀滅股東價值的平庸專案。經過專業的 Hamada 槓桿還原與風險溢酬加總後，HCI 應嚴格使用【13.47%】作為 800 萬美元新投資案之折現率，唯有在 13.47% 折現率下 NPV 大於零的方案，方能真正為哈伯德家族與股東創造實質財富！</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財務管理課程教學教材 | 嚴謹推導．完整個案．教學解答</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企業財務學精選個案教學指引與詳解 | 財務個案2：Hubbard Computer 的資金成本分析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微軟正黑體" w:hAnsi="微軟正黑體"/>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微軟正黑體" w:hAnsi="微軟正黑體"/>
      <w:color w:val="8C8C8C"/>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