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微軟正黑體" w:hAnsi="微軟正黑體"/>
          <w:b/>
          <w:color w:val="1B365D"/>
          <w:sz w:val="22"/>
        </w:rPr>
        <w:t>【個案與教學指引．詳解】</w:t>
      </w:r>
    </w:p>
    <w:p>
      <w:pPr>
        <w:spacing w:before="40" w:after="80"/>
        <w:jc w:val="left"/>
      </w:pPr>
      <w:r>
        <w:rPr>
          <w:rFonts w:ascii="微軟正黑體" w:hAnsi="微軟正黑體"/>
          <w:b/>
          <w:color w:val="0F4C81"/>
          <w:sz w:val="40"/>
        </w:rPr>
        <w:t>財務個案 3：Stephenson Real Estate 的資本結構重組與融資決策</w:t>
      </w:r>
    </w:p>
    <w:p>
      <w:pPr>
        <w:spacing w:before="40" w:after="320"/>
        <w:jc w:val="left"/>
      </w:pPr>
      <w:r>
        <w:rPr>
          <w:rFonts w:ascii="微軟正黑體" w:hAnsi="微軟正黑體"/>
          <w:color w:val="5A6B7C"/>
          <w:sz w:val="23"/>
        </w:rPr>
        <w:t>Stephenson Real Estate's Capital Restructuring | MM 定理、利息稅盾價值 (Interest Tax Shield)、市場價值資產負債表與代理衝突</w:t>
      </w:r>
    </w:p>
    <w:tbl>
      <w:tblPr>
        <w:tblW w:type="auto" w:w="0"/>
        <w:jc w:val="center"/>
        <w:tblLook w:firstColumn="1" w:firstRow="1" w:lastColumn="0" w:lastRow="0" w:noHBand="0" w:noVBand="1" w:val="04A0"/>
      </w:tblPr>
      <w:tblGrid>
        <w:gridCol w:w="9648"/>
      </w:tblGrid>
      <w:tr>
        <w:tc>
          <w:tcPr>
            <w:tcW w:type="dxa" w:w="9648"/>
            <w:shd w:fill="1B365D"/>
          </w:tcPr>
          <w:p>
            <w:pPr>
              <w:spacing w:before="20" w:after="20"/>
            </w:pPr>
            <w:r>
              <w:rPr>
                <w:sz w:val="4"/>
              </w:rPr>
            </w:r>
          </w:p>
        </w:tc>
      </w:tr>
    </w:tbl>
    <w:p>
      <w:pPr>
        <w:keepNext/>
        <w:spacing w:before="360" w:after="160"/>
      </w:pPr>
      <w:r>
        <w:rPr>
          <w:rFonts w:ascii="微軟正黑體" w:hAnsi="微軟正黑體"/>
          <w:b/>
          <w:color w:val="1B365D"/>
          <w:sz w:val="28"/>
        </w:rPr>
        <w:t>第一部分：個案完整背景與情境描述</w:t>
      </w:r>
    </w:p>
    <w:p>
      <w:pPr>
        <w:spacing w:before="0" w:after="120" w:line="276" w:lineRule="auto"/>
      </w:pPr>
      <w:r>
        <w:rPr>
          <w:rFonts w:ascii="微軟正黑體" w:hAnsi="微軟正黑體"/>
          <w:b w:val="0"/>
          <w:i w:val="0"/>
          <w:color w:val="222222"/>
          <w:sz w:val="20"/>
        </w:rPr>
        <w:t>史蒂芬森房地產公司（Stephenson Real Estate Company）由現任執行長羅伯特·史蒂芬森（Robert Stephenson）於 25 年前一手創立。該公司的核心營運模式是在全美具備長期成長潛力的大都會邊緣區域購置優質商業土地、辦公大樓與倉儲物流設施，並長期出租給信譽良好的企業租戶，藉此賺取穩定的租金收益與長期的土地增值回報。自成立以來，公司的營運極為穩健，享有持續超過二十年的穩定獲利記錄。</w:t>
      </w:r>
    </w:p>
    <w:p>
      <w:pPr>
        <w:spacing w:before="0" w:after="120" w:line="276" w:lineRule="auto"/>
      </w:pPr>
      <w:r>
        <w:rPr>
          <w:rFonts w:ascii="微軟正黑體" w:hAnsi="微軟正黑體"/>
          <w:b w:val="0"/>
          <w:i w:val="0"/>
          <w:color w:val="222222"/>
          <w:sz w:val="20"/>
        </w:rPr>
        <w:t>然而，公司在財務政策上有一個極為鮮明的特徵——【長年堅持零負債運作（All-Equity Firm）】。</w:t>
        <w:br/>
        <w:t>這項極端保守的政策源自於創辦人個人的痛苦經歷：在創立 Stephenson Real Estate 之前，羅伯特·史蒂芬森曾經營過一家高槓桿的建築承包公司，在 1980 年代初期美國聯準會暴力升息的經濟衰退浪潮中，那家公司因不堪沉重的債務利息負擔而被迫聲請破產清算。這場個人破產的創傷讓史蒂芬森對任何形式的借貸與債務產生了根深蒂固的恐懼與排斥。自那以後，他發誓絕不再讓任何一家他領導的公司背負任何一分錢的負債。因此，過去 25 年來，Stephenson Real Estate 所有的資產購買皆完全仰賴內部保留盈餘或發行普通股融資。</w:t>
      </w:r>
    </w:p>
    <w:p>
      <w:pPr>
        <w:spacing w:before="0" w:after="120" w:line="276" w:lineRule="auto"/>
      </w:pPr>
      <w:r>
        <w:rPr>
          <w:rFonts w:ascii="微軟正黑體" w:hAnsi="微軟正黑體"/>
          <w:b w:val="0"/>
          <w:i w:val="0"/>
          <w:color w:val="222222"/>
          <w:sz w:val="20"/>
        </w:rPr>
        <w:t>如今，公司面臨創立以來最重要的發展轉折點：</w:t>
        <w:br/>
        <w:t>一塊位於高科技產業走廊核心區域的優質大型商業地塊因原持有者資金鏈斷裂而公開拍賣求售。該地塊具備無可比擬的戰略增值潛力，總收購成本為【1.1 億美元（$110,000,000 美元）】。根據投資評估團隊的詳細現金流折現分析，在不考慮融資利息抵稅優惠的基準情境下，該地塊未來永續租金收益的折現現值恰好等於 1.1 億美元（即該專案自身的無槓桿淨現值 NPV 恰好為零）。</w:t>
      </w:r>
    </w:p>
    <w:p>
      <w:pPr>
        <w:spacing w:before="0" w:after="120" w:line="276" w:lineRule="auto"/>
      </w:pPr>
      <w:r>
        <w:rPr>
          <w:rFonts w:ascii="微軟正黑體" w:hAnsi="微軟正黑體"/>
          <w:b w:val="0"/>
          <w:i w:val="0"/>
          <w:color w:val="222222"/>
          <w:sz w:val="20"/>
        </w:rPr>
        <w:t>目前公司的現行資本與市場數據如下：</w:t>
        <w:br/>
        <w:t>• 流通在外普通股股數：1,500 萬股（15,000,000 股）。</w:t>
        <w:br/>
        <w:t>• 當前每股公開交易股價：$34.50 美元。</w:t>
        <w:br/>
        <w:t>• 公司當前無負債總市場價值（VU）：$15,000,000 \times \$34.50 = \$517,500,000$ 美元（約 5.175 億美元）。</w:t>
        <w:br/>
        <w:t>• 適用之聯邦與州綜合企業所得稅率（Tc）：40.0%。</w:t>
      </w:r>
    </w:p>
    <w:p>
      <w:pPr>
        <w:spacing w:before="0" w:after="120" w:line="276" w:lineRule="auto"/>
      </w:pPr>
      <w:r>
        <w:rPr>
          <w:rFonts w:ascii="微軟正黑體" w:hAnsi="微軟正黑體"/>
          <w:b w:val="0"/>
          <w:i w:val="0"/>
          <w:color w:val="222222"/>
          <w:sz w:val="20"/>
        </w:rPr>
        <w:t>為了籌集這筆 1.1 億美元的購地資金，董事會內部爆發了激烈的融資決策爭辯：</w:t>
        <w:br/>
        <w:t>• 方案 A（執行長堅決主張的純股權融資）：增發新股籌集 1.1 億美元。史蒂芬森認為，發行股票雖然稀釋股數，但『永遠不需要還本付息，完全沒有破產違約風險』，是最安全也是對股東最負責任的做法。</w:t>
        <w:br/>
        <w:t>• 方案 B（財務長與外部投行顧問力薦的債務融資）：全數發行長期公司債籌集 1.1 億美元。財務長指出，根據現代財務學諾貝爾獎理論——莫迪利安尼-米勒定理（MM 定理，考慮所得稅環境），負債所產生的利息支出可以在稅前扣除，為公司創造巨大的【利息稅盾現值（Present Value of Interest Tax Shield）】。這筆稅盾價值將直接轉化為現有股東的實質財富，推升每股股價！</w:t>
      </w:r>
    </w:p>
    <w:p>
      <w:pPr>
        <w:keepNext/>
        <w:spacing w:before="360" w:after="160"/>
      </w:pPr>
      <w:r>
        <w:rPr>
          <w:rFonts w:ascii="微軟正黑體" w:hAnsi="微軟正黑體"/>
          <w:b/>
          <w:color w:val="1B365D"/>
          <w:sz w:val="28"/>
        </w:rPr>
        <w:t>第二部分：核心財務數據與參數彙整</w:t>
      </w:r>
    </w:p>
    <w:tbl>
      <w:tblPr>
        <w:tblW w:type="auto" w:w="0"/>
        <w:jc w:val="center"/>
        <w:tblLook w:firstColumn="1" w:firstRow="1" w:lastColumn="0" w:lastRow="0" w:noHBand="0" w:noVBand="1" w:val="04A0"/>
      </w:tblPr>
      <w:tblGrid>
        <w:gridCol w:w="3216"/>
        <w:gridCol w:w="3216"/>
        <w:gridCol w:w="3216"/>
      </w:tblGrid>
      <w:tr>
        <w:tc>
          <w:tcPr>
            <w:tcW w:type="dxa" w:w="3600"/>
            <w:shd w:fill="1B365D"/>
            <w:tcMar>
              <w:top w:w="120" w:type="dxa"/>
              <w:bottom w:w="120" w:type="dxa"/>
              <w:left w:w="120" w:type="dxa"/>
              <w:right w:w="120" w:type="dxa"/>
            </w:tcMar>
          </w:tcPr>
          <w:p>
            <w:pPr>
              <w:jc w:val="center"/>
            </w:pPr>
            <w:r>
              <w:rPr>
                <w:rFonts w:ascii="微軟正黑體" w:hAnsi="微軟正黑體"/>
                <w:b/>
                <w:color w:val="FFFFFF"/>
                <w:sz w:val="19"/>
              </w:rPr>
              <w:t>財務分析參數</w:t>
            </w:r>
          </w:p>
        </w:tc>
        <w:tc>
          <w:tcPr>
            <w:tcW w:type="dxa" w:w="2304"/>
            <w:shd w:fill="1B365D"/>
            <w:tcMar>
              <w:top w:w="120" w:type="dxa"/>
              <w:bottom w:w="120" w:type="dxa"/>
              <w:left w:w="120" w:type="dxa"/>
              <w:right w:w="120" w:type="dxa"/>
            </w:tcMar>
          </w:tcPr>
          <w:p>
            <w:pPr>
              <w:jc w:val="center"/>
            </w:pPr>
            <w:r>
              <w:rPr>
                <w:rFonts w:ascii="微軟正黑體" w:hAnsi="微軟正黑體"/>
                <w:b/>
                <w:color w:val="FFFFFF"/>
                <w:sz w:val="19"/>
              </w:rPr>
              <w:t>基準數值</w:t>
            </w:r>
          </w:p>
        </w:tc>
        <w:tc>
          <w:tcPr>
            <w:tcW w:type="dxa" w:w="3744"/>
            <w:shd w:fill="1B365D"/>
            <w:tcMar>
              <w:top w:w="120" w:type="dxa"/>
              <w:bottom w:w="120" w:type="dxa"/>
              <w:left w:w="120" w:type="dxa"/>
              <w:right w:w="120" w:type="dxa"/>
            </w:tcMar>
          </w:tcPr>
          <w:p>
            <w:pPr>
              <w:jc w:val="center"/>
            </w:pPr>
            <w:r>
              <w:rPr>
                <w:rFonts w:ascii="微軟正黑體" w:hAnsi="微軟正黑體"/>
                <w:b/>
                <w:color w:val="FFFFFF"/>
                <w:sz w:val="19"/>
              </w:rPr>
              <w:t>財務意涵與說明</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宣告前流通在外股數 (Shares Outstanding, N0)</w:t>
            </w:r>
          </w:p>
        </w:tc>
        <w:tc>
          <w:tcPr>
            <w:tcW w:type="dxa" w:w="2304"/>
            <w:shd w:fill="FFFFFF"/>
            <w:tcMar>
              <w:top w:w="100" w:type="dxa"/>
              <w:bottom w:w="100" w:type="dxa"/>
              <w:left w:w="120" w:type="dxa"/>
              <w:right w:w="120" w:type="dxa"/>
            </w:tcMar>
          </w:tcPr>
          <w:p>
            <w:pPr>
              <w:jc w:val="left"/>
            </w:pPr>
            <w:r>
              <w:rPr>
                <w:rFonts w:ascii="微軟正黑體" w:hAnsi="微軟正黑體"/>
                <w:color w:val="1E1E1E"/>
                <w:sz w:val="18"/>
              </w:rPr>
              <w:t>1,500 萬股 (15,000,000 股)</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既有舊股東持股總數</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宣告前每股股票價格 (Stock Price, P0)</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$34.50 美元</w:t>
            </w:r>
          </w:p>
        </w:tc>
        <w:tc>
          <w:tcPr>
            <w:tcW w:type="dxa" w:w="3744"/>
            <w:shd w:fill="F8FAFC"/>
            <w:tcMar>
              <w:top w:w="100" w:type="dxa"/>
              <w:bottom w:w="100" w:type="dxa"/>
              <w:left w:w="120" w:type="dxa"/>
              <w:right w:w="120" w:type="dxa"/>
            </w:tcMar>
          </w:tcPr>
          <w:p>
            <w:pPr>
              <w:jc w:val="center"/>
            </w:pPr>
            <w:r>
              <w:rPr>
                <w:rFonts w:ascii="微軟正黑體" w:hAnsi="微軟正黑體"/>
                <w:color w:val="1E1E1E"/>
                <w:sz w:val="18"/>
              </w:rPr>
              <w:t>市場公開交易市價</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宣告前公司無負債總市值 (Unlevered Value, VU)</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$517,500,000 美元 ($517.5M)</w:t>
            </w:r>
          </w:p>
        </w:tc>
        <w:tc>
          <w:tcPr>
            <w:tcW w:type="dxa" w:w="3744"/>
            <w:shd w:fill="FFFFFF"/>
            <w:tcMar>
              <w:top w:w="100" w:type="dxa"/>
              <w:bottom w:w="100" w:type="dxa"/>
              <w:left w:w="120" w:type="dxa"/>
              <w:right w:w="120" w:type="dxa"/>
            </w:tcMar>
          </w:tcPr>
          <w:p>
            <w:pPr>
              <w:jc w:val="right"/>
            </w:pPr>
            <w:r>
              <w:rPr>
                <w:rFonts w:ascii="微軟正黑體" w:hAnsi="微軟正黑體"/>
                <w:color w:val="1E1E1E"/>
                <w:sz w:val="18"/>
              </w:rPr>
              <w:t>P0 × N0 = $34.50 × 15M 股</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土地購置專案投資成本 (Capital Outlay, I)</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$110,000,000 美元 ($110.0M)</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購買商業地塊所需現金</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專案無槓桿經營現金流現值 (PV of Unlevered CF)</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$110,000,000 美元 ($110.0M)</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專案未考慮稅盾之基本價值 (NPV = 0)</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企業所得稅率 (Corporate Tax Rate, Tc)</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40.0%</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利息支出抵減稅負之邊際稅率</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融資方案 A：發行新股規模 (Equity Issue)</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$110,000,000 美元</w:t>
            </w:r>
          </w:p>
        </w:tc>
        <w:tc>
          <w:tcPr>
            <w:tcW w:type="dxa" w:w="3744"/>
            <w:shd w:fill="FFFFFF"/>
            <w:tcMar>
              <w:top w:w="100" w:type="dxa"/>
              <w:bottom w:w="100" w:type="dxa"/>
              <w:left w:w="120" w:type="dxa"/>
              <w:right w:w="120" w:type="dxa"/>
            </w:tcMar>
          </w:tcPr>
          <w:p>
            <w:pPr>
              <w:jc w:val="right"/>
            </w:pPr>
            <w:r>
              <w:rPr>
                <w:rFonts w:ascii="微軟正黑體" w:hAnsi="微軟正黑體"/>
                <w:color w:val="1E1E1E"/>
                <w:sz w:val="18"/>
              </w:rPr>
              <w:t>增發普通股，維持零負債 (D = $0)</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融資方案 B：發行債券規模 (Debt Issue, D)</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$110,000,000 美元</w:t>
            </w:r>
          </w:p>
        </w:tc>
        <w:tc>
          <w:tcPr>
            <w:tcW w:type="dxa" w:w="3744"/>
            <w:shd w:fill="F8FAFC"/>
            <w:tcMar>
              <w:top w:w="100" w:type="dxa"/>
              <w:bottom w:w="100" w:type="dxa"/>
              <w:left w:w="120" w:type="dxa"/>
              <w:right w:w="120" w:type="dxa"/>
            </w:tcMar>
          </w:tcPr>
          <w:p>
            <w:pPr>
              <w:jc w:val="right"/>
            </w:pPr>
            <w:r>
              <w:rPr>
                <w:rFonts w:ascii="微軟正黑體" w:hAnsi="微軟正黑體"/>
                <w:color w:val="1E1E1E"/>
                <w:sz w:val="18"/>
              </w:rPr>
              <w:t>發行長期公司債，新增負債 (D = $110M)</w:t>
            </w:r>
          </w:p>
        </w:tc>
      </w:tr>
    </w:tbl>
    <w:p>
      <w:pPr>
        <w:keepNext/>
        <w:spacing w:before="360" w:after="160"/>
      </w:pPr>
      <w:r>
        <w:rPr>
          <w:rFonts w:ascii="微軟正黑體" w:hAnsi="微軟正黑體"/>
          <w:b/>
          <w:color w:val="1B365D"/>
          <w:sz w:val="28"/>
        </w:rPr>
        <w:t>第三部分：個案核心作業問題清單</w:t>
      </w:r>
    </w:p>
    <w:p>
      <w:pPr>
        <w:pStyle w:val="ListBullet"/>
        <w:spacing w:before="20" w:after="60" w:line="276" w:lineRule="auto"/>
      </w:pPr>
      <w:r>
        <w:rPr>
          <w:rFonts w:ascii="微軟正黑體" w:hAnsi="微軟正黑體"/>
          <w:b/>
          <w:color w:val="1B365D"/>
          <w:sz w:val="20"/>
        </w:rPr>
        <w:t>問題一（總市場價值最大化之融資建議）：</w:t>
      </w:r>
      <w:r>
        <w:rPr>
          <w:rFonts w:ascii="微軟正黑體" w:hAnsi="微軟正黑體"/>
          <w:color w:val="282828"/>
          <w:sz w:val="20"/>
        </w:rPr>
        <w:t>如果 Stephenson Real Estate 的首要治理目標是【最大化公司總市場價值與股東財富】，你會建議公司發行債券還是發行股票來為土地購置案融資？請詳細闡述其經濟學與財務學原理。</w:t>
      </w:r>
    </w:p>
    <w:p>
      <w:pPr>
        <w:pStyle w:val="ListBullet"/>
        <w:spacing w:before="20" w:after="60" w:line="276" w:lineRule="auto"/>
      </w:pPr>
      <w:r>
        <w:rPr>
          <w:rFonts w:ascii="微軟正黑體" w:hAnsi="微軟正黑體"/>
          <w:b/>
          <w:color w:val="1B365D"/>
          <w:sz w:val="20"/>
        </w:rPr>
        <w:t>問題二（宣告前市場價值資產負債表）：</w:t>
      </w:r>
      <w:r>
        <w:rPr>
          <w:rFonts w:ascii="微軟正黑體" w:hAnsi="微軟正黑體"/>
          <w:color w:val="282828"/>
          <w:sz w:val="20"/>
        </w:rPr>
        <w:t>請編制 Stephenson Real Estate 在正式向市場宣告購地計劃之前的【市場價值資產負債表】（Market Value Balance Sheet）。</w:t>
      </w:r>
    </w:p>
    <w:p>
      <w:pPr>
        <w:pStyle w:val="ListBullet"/>
        <w:spacing w:before="20" w:after="60" w:line="276" w:lineRule="auto"/>
      </w:pPr>
      <w:r>
        <w:rPr>
          <w:rFonts w:ascii="微軟正黑體" w:hAnsi="微軟正黑體"/>
          <w:b/>
          <w:color w:val="1B365D"/>
          <w:sz w:val="20"/>
        </w:rPr>
        <w:t>問題三（方案 A：全額增發新股之完整分析）：</w:t>
      </w:r>
      <w:r>
        <w:rPr>
          <w:rFonts w:ascii="微軟正黑體" w:hAnsi="微軟正黑體"/>
          <w:color w:val="282828"/>
          <w:sz w:val="20"/>
        </w:rPr>
        <w:t>假設公司採納執行長建議，決定全額發行普通股籌措 1.1 億美元：</w:t>
        <w:br/>
        <w:t>1. 計算此一投資案對公司的淨現值（NPV）。</w:t>
        <w:br/>
        <w:t>2. 宣告該項股權融資購地計劃後，公司的股權總市值與每股股價為何？</w:t>
        <w:br/>
        <w:t>3. 公司必須發行多少股新股才能籌集足額的 1.1 億美元資金？</w:t>
        <w:br/>
        <w:t>4. 編制完成新股發行並購買土地後的市場價值資產負債表。</w:t>
      </w:r>
    </w:p>
    <w:p>
      <w:pPr>
        <w:pStyle w:val="ListBullet"/>
        <w:spacing w:before="20" w:after="60" w:line="276" w:lineRule="auto"/>
      </w:pPr>
      <w:r>
        <w:rPr>
          <w:rFonts w:ascii="微軟正黑體" w:hAnsi="微軟正黑體"/>
          <w:b/>
          <w:color w:val="1B365D"/>
          <w:sz w:val="20"/>
        </w:rPr>
        <w:t>問題四（方案 B：全額發行債券之完整分析）：</w:t>
      </w:r>
      <w:r>
        <w:rPr>
          <w:rFonts w:ascii="微軟正黑體" w:hAnsi="微軟正黑體"/>
          <w:color w:val="282828"/>
          <w:sz w:val="20"/>
        </w:rPr>
        <w:t>假設公司採納財務長建議，決定全額發行長期債券籌措 1.1 億美元：</w:t>
        <w:br/>
        <w:t>1. 根據 MM 定理（有稅模型），計算該負債產生的利息稅盾現值（PV of Tax Shield）。</w:t>
        <w:br/>
        <w:t>2. 宣告該項債務融資購地計劃後，公司的總市場價值（$V_L$）與股權市場價值（$S$）為何？</w:t>
        <w:br/>
        <w:t>3. 宣告後的每股股價將變為多少？相較於宣告前變動了多少？這筆增值全數由誰享有？</w:t>
        <w:br/>
        <w:t>4. 編制完成債券發行並購買土地後的市場價值資產負債表。</w:t>
      </w:r>
    </w:p>
    <w:p>
      <w:pPr>
        <w:pStyle w:val="ListBullet"/>
        <w:spacing w:before="20" w:after="60" w:line="276" w:lineRule="auto"/>
      </w:pPr>
      <w:r>
        <w:rPr>
          <w:rFonts w:ascii="微軟正黑體" w:hAnsi="微軟正黑體"/>
          <w:b/>
          <w:color w:val="1B365D"/>
          <w:sz w:val="20"/>
        </w:rPr>
        <w:t>問題五（決策比較與公司治理代理衝突探討）：</w:t>
      </w:r>
      <w:r>
        <w:rPr>
          <w:rFonts w:ascii="微軟正黑體" w:hAnsi="微軟正黑體"/>
          <w:color w:val="282828"/>
          <w:sz w:val="20"/>
        </w:rPr>
        <w:t>1. 比較方案 A 與方案 B，哪一個方案真正使每股股價最大化？</w:t>
        <w:br/>
        <w:t>2. 為什麼發債會提高股權資本成本（$R_e$），卻仍然能降低整體加權平均資金成本（WACC）並提升每股股價？（MM Proposition II）</w:t>
        <w:br/>
        <w:t>3. 執行長羅伯特·史蒂芬森個人的『破產創傷心理與負債厭惡』，與現代公司治理中的『股東財富最大化原則』之間存在怎樣的代理衝突？董事會應如何建立決策治理機制？</w:t>
      </w:r>
    </w:p>
    <w:p>
      <w:pPr>
        <w:keepNext/>
        <w:spacing w:before="360" w:after="160"/>
      </w:pPr>
      <w:r>
        <w:rPr>
          <w:rFonts w:ascii="微軟正黑體" w:hAnsi="微軟正黑體"/>
          <w:b/>
          <w:color w:val="1B365D"/>
          <w:sz w:val="28"/>
        </w:rPr>
        <w:t>第四部分：教師教學指引（Instructor's Teaching Guide）</w:t>
      </w:r>
    </w:p>
    <w:p>
      <w:pPr>
        <w:keepNext/>
        <w:spacing w:before="240" w:after="120"/>
      </w:pPr>
      <w:r>
        <w:rPr>
          <w:rFonts w:ascii="微軟正黑體" w:hAnsi="微軟正黑體"/>
          <w:b/>
          <w:color w:val="2C5E8A"/>
          <w:sz w:val="24"/>
        </w:rPr>
        <w:t>4.1 教學目標與先備知識要求</w:t>
      </w:r>
    </w:p>
    <w:p>
      <w:pPr>
        <w:pStyle w:val="ListBullet"/>
        <w:spacing w:before="20" w:after="60" w:line="276" w:lineRule="auto"/>
      </w:pPr>
      <w:r>
        <w:rPr>
          <w:rFonts w:ascii="微軟正黑體" w:hAnsi="微軟正黑體"/>
          <w:b/>
          <w:color w:val="1B365D"/>
          <w:sz w:val="20"/>
        </w:rPr>
        <w:t>教學目標 1：掌握莫迪利安尼-米勒定理（MM Propositions with Taxes）：</w:t>
      </w:r>
      <w:r>
        <w:rPr>
          <w:rFonts w:ascii="微軟正黑體" w:hAnsi="微軟正黑體"/>
          <w:color w:val="282828"/>
          <w:sz w:val="20"/>
        </w:rPr>
        <w:t>透徹理解在存在公司所得稅的真實世界中，債務融資如何透過『政府補貼』（利息稅盾）替企業憑空創造出數千萬美元的真實經濟價值。</w:t>
      </w:r>
    </w:p>
    <w:p>
      <w:pPr>
        <w:pStyle w:val="ListBullet"/>
        <w:spacing w:before="20" w:after="60" w:line="276" w:lineRule="auto"/>
      </w:pPr>
      <w:r>
        <w:rPr>
          <w:rFonts w:ascii="微軟正黑體" w:hAnsi="微軟正黑體"/>
          <w:b/>
          <w:color w:val="1B365D"/>
          <w:sz w:val="20"/>
        </w:rPr>
        <w:t>教學目標 2：精通現代市場價值資產負債表（Market Value Balance Sheet）的編制：</w:t>
      </w:r>
      <w:r>
        <w:rPr>
          <w:rFonts w:ascii="微軟正黑體" w:hAnsi="微軟正黑體"/>
          <w:color w:val="282828"/>
          <w:sz w:val="20"/>
        </w:rPr>
        <w:t>訓練學生跳脫傳統會計資產負債表的歷史成本窠臼，學會將『專案淨現值』與『稅盾現值』作為資產項目計入資產端，並準確分配至負債與股權端。</w:t>
      </w:r>
    </w:p>
    <w:p>
      <w:pPr>
        <w:pStyle w:val="ListBullet"/>
        <w:spacing w:before="20" w:after="60" w:line="276" w:lineRule="auto"/>
      </w:pPr>
      <w:r>
        <w:rPr>
          <w:rFonts w:ascii="微軟正黑體" w:hAnsi="微軟正黑體"/>
          <w:b/>
          <w:color w:val="1B365D"/>
          <w:sz w:val="20"/>
        </w:rPr>
        <w:t>教學目標 3：剖析行為財務學中的個人創傷偏誤與公司代理問題：</w:t>
      </w:r>
      <w:r>
        <w:rPr>
          <w:rFonts w:ascii="微軟正黑體" w:hAnsi="微軟正黑體"/>
          <w:color w:val="282828"/>
          <w:sz w:val="20"/>
        </w:rPr>
        <w:t>讓學生體會管理者的個人心理防衛機制（如害怕負債）如何導致企業陷入次優決策，損害外部公眾股東的財富。</w:t>
      </w:r>
    </w:p>
    <w:p>
      <w:pPr>
        <w:keepNext/>
        <w:spacing w:before="240" w:after="120"/>
      </w:pPr>
      <w:r>
        <w:rPr>
          <w:rFonts w:ascii="微軟正黑體" w:hAnsi="微軟正黑體"/>
          <w:b/>
          <w:color w:val="2C5E8A"/>
          <w:sz w:val="24"/>
        </w:rPr>
        <w:t>4.2 核心財務理論架構深度剖析</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180" w:type="dxa"/>
              <w:right w:w="180" w:type="dxa"/>
            </w:tcMar>
            <w:tcBorders>
              <w:top w:val="none" w:sz="4" w:space="0" w:color="auto"/>
              <w:left w:val="single" w:sz="24" w:space="0" w:color="1B365D"/>
              <w:bottom w:val="none" w:sz="4" w:space="0" w:color="auto"/>
              <w:right w:val="none" w:sz="4" w:space="0" w:color="auto"/>
            </w:tcBorders>
          </w:tcPr>
          <w:p>
            <w:pPr>
              <w:spacing w:before="0" w:after="80"/>
            </w:pPr>
            <w:r>
              <w:rPr>
                <w:rFonts w:ascii="微軟正黑體" w:hAnsi="微軟正黑體"/>
                <w:b/>
                <w:color w:val="1B365D"/>
                <w:sz w:val="21"/>
              </w:rPr>
              <w:t>📌 核心模型剖析：MM 第一定理（有稅環境）與利息稅盾機制</w:t>
            </w:r>
          </w:p>
          <w:p>
            <w:pPr>
              <w:spacing w:before="20" w:after="60" w:line="276" w:lineRule="auto"/>
            </w:pPr>
            <w:r>
              <w:rPr>
                <w:rFonts w:ascii="微軟正黑體" w:hAnsi="微軟正黑體"/>
                <w:color w:val="2D3748"/>
                <w:sz w:val="19"/>
              </w:rPr>
              <w:t>在有公司所得稅的環境下，負債利息支出可以在計算應稅所得時予以扣除，而發放給股東的股利則必須以稅後利潤支付。</w:t>
            </w:r>
          </w:p>
          <w:p>
            <w:pPr>
              <w:spacing w:before="20" w:after="60" w:line="276" w:lineRule="auto"/>
            </w:pPr>
            <w:r>
              <w:rPr>
                <w:rFonts w:ascii="微軟正黑體" w:hAnsi="微軟正黑體"/>
                <w:color w:val="2D3748"/>
                <w:sz w:val="19"/>
              </w:rPr>
              <w:t>• 每年利息稅盾金額 $= \text{債務規模 (D)} \times \text{債務利率 (Rd)} \times \text{所得稅率 (Tc)}$</w:t>
            </w:r>
          </w:p>
          <w:p>
            <w:pPr>
              <w:spacing w:before="20" w:after="60" w:line="276" w:lineRule="auto"/>
            </w:pPr>
            <w:r>
              <w:rPr>
                <w:rFonts w:ascii="微軟正黑體" w:hAnsi="微軟正黑體"/>
                <w:color w:val="2D3748"/>
                <w:sz w:val="19"/>
              </w:rPr>
              <w:t>• 假設該債務為永續債或長期循環滾動，以債務利率 Rd 作為折現率，利息稅盾之折現現值為：</w:t>
            </w:r>
          </w:p>
          <w:p>
            <w:pPr>
              <w:spacing w:before="20" w:after="60" w:line="276" w:lineRule="auto"/>
            </w:pPr>
            <w:r>
              <w:rPr>
                <w:rFonts w:ascii="微軟正黑體" w:hAnsi="微軟正黑體"/>
                <w:color w:val="2D3748"/>
                <w:sz w:val="19"/>
              </w:rPr>
              <w:t>$$\text{PV of Tax Shield} = \frac{D \times R_d \times T_c}{R_d} = T_c \times D$$</w:t>
            </w:r>
          </w:p>
          <w:p>
            <w:pPr>
              <w:spacing w:before="20" w:after="60" w:line="276" w:lineRule="auto"/>
            </w:pPr>
            <w:r>
              <w:rPr>
                <w:rFonts w:ascii="微軟正黑體" w:hAnsi="微軟正黑體"/>
                <w:color w:val="2D3748"/>
                <w:sz w:val="19"/>
              </w:rPr>
              <w:t>• MM 第一定理（有稅）：具槓桿企業之總市場價值等於無槓桿企業價值加上稅盾現值：</w:t>
            </w:r>
          </w:p>
          <w:p>
            <w:pPr>
              <w:spacing w:before="20" w:after="60" w:line="276" w:lineRule="auto"/>
            </w:pPr>
            <w:r>
              <w:rPr>
                <w:rFonts w:ascii="微軟正黑體" w:hAnsi="微軟正黑體"/>
                <w:color w:val="2D3748"/>
                <w:sz w:val="19"/>
              </w:rPr>
              <w:t>$$V_L = V_U + T_c \times D$$</w:t>
            </w:r>
          </w:p>
          <w:p>
            <w:pPr>
              <w:spacing w:before="20" w:after="60" w:line="276" w:lineRule="auto"/>
            </w:pPr>
            <w:r>
              <w:rPr>
                <w:rFonts w:ascii="微軟正黑體" w:hAnsi="微軟正黑體"/>
                <w:color w:val="2D3748"/>
                <w:sz w:val="19"/>
              </w:rPr>
              <w:t>【關鍵洞察】：利息稅盾是政府國稅局在『變相補貼』舉債企業。企業每發行 1 美元債券，在 40% 稅率下，就直接為公司股東創造了 0.40 美元的純財富！這筆財富完全歸屬於現有舊股東！</w:t>
            </w:r>
          </w:p>
        </w:tc>
      </w:tr>
    </w:tbl>
    <w:p>
      <w:pPr>
        <w:keepNext/>
        <w:spacing w:before="240" w:after="120"/>
      </w:pPr>
      <w:r>
        <w:rPr>
          <w:rFonts w:ascii="微軟正黑體" w:hAnsi="微軟正黑體"/>
          <w:b/>
          <w:color w:val="2C5E8A"/>
          <w:sz w:val="24"/>
        </w:rPr>
        <w:t>4.3 學生常見思維誤區與教學引導對策</w:t>
      </w:r>
    </w:p>
    <w:p>
      <w:pPr>
        <w:pStyle w:val="ListBullet"/>
        <w:spacing w:before="20" w:after="60" w:line="276" w:lineRule="auto"/>
      </w:pPr>
      <w:r>
        <w:rPr>
          <w:rFonts w:ascii="微軟正黑體" w:hAnsi="微軟正黑體"/>
          <w:b/>
          <w:color w:val="1B365D"/>
          <w:sz w:val="20"/>
        </w:rPr>
        <w:t>誤區一：『發行新股最安全，因為不用還錢，所以對股東最好』</w:t>
      </w:r>
      <w:r>
        <w:rPr>
          <w:rFonts w:ascii="微軟正黑體" w:hAnsi="微軟正黑體"/>
          <w:color w:val="282828"/>
          <w:sz w:val="20"/>
        </w:rPr>
        <w:t>引導技巧：教師應要求學生計算新股發行後的股數稀釋。發行新股雖然無倒閉風險，但新股東平分了未來的利潤，且完全無法享受政府提供的稅盾補貼。每股股價原地踏步，股東財富毫無增長。</w:t>
      </w:r>
    </w:p>
    <w:p>
      <w:pPr>
        <w:pStyle w:val="ListBullet"/>
        <w:spacing w:before="20" w:after="60" w:line="276" w:lineRule="auto"/>
      </w:pPr>
      <w:r>
        <w:rPr>
          <w:rFonts w:ascii="微軟正黑體" w:hAnsi="微軟正黑體"/>
          <w:b/>
          <w:color w:val="1B365D"/>
          <w:sz w:val="20"/>
        </w:rPr>
        <w:t>誤區二：『借債要付利息，會降低公司的會計淨利潤（Net Income），所以借債是不好的』</w:t>
      </w:r>
      <w:r>
        <w:rPr>
          <w:rFonts w:ascii="微軟正黑體" w:hAnsi="微軟正黑體"/>
          <w:color w:val="282828"/>
          <w:sz w:val="20"/>
        </w:rPr>
        <w:t>引導技巧：引導學生區分【會計淨利潤】與【支付給所有投資人（股東+債權人）的總現金流】。雖然股東的淨利減少了，但減少的幅度小於少繳的稅款！債權人拿到的利息 + 股東拿到的淨利之和，遠遠大於無負債時的總現金流！</w:t>
      </w:r>
    </w:p>
    <w:p>
      <w:pPr>
        <w:keepNext/>
        <w:spacing w:before="360" w:after="160"/>
      </w:pPr>
      <w:r>
        <w:rPr>
          <w:rFonts w:ascii="微軟正黑體" w:hAnsi="微軟正黑體"/>
          <w:b/>
          <w:color w:val="1B365D"/>
          <w:sz w:val="28"/>
        </w:rPr>
        <w:t>第五部分：教學解答與詳細數學推導</w:t>
      </w:r>
    </w:p>
    <w:p>
      <w:pPr>
        <w:keepNext/>
        <w:spacing w:before="240" w:after="120"/>
      </w:pPr>
      <w:r>
        <w:rPr>
          <w:rFonts w:ascii="微軟正黑體" w:hAnsi="微軟正黑體"/>
          <w:b/>
          <w:color w:val="2C5E8A"/>
          <w:sz w:val="24"/>
        </w:rPr>
        <w:t>問題一解答：總市場價值最大化之融資建議</w:t>
      </w:r>
    </w:p>
    <w:p>
      <w:pPr>
        <w:spacing w:before="0" w:after="120" w:line="276" w:lineRule="auto"/>
      </w:pPr>
      <w:r>
        <w:rPr>
          <w:rFonts w:ascii="微軟正黑體" w:hAnsi="微軟正黑體"/>
          <w:b w:val="0"/>
          <w:i w:val="0"/>
          <w:color w:val="222222"/>
          <w:sz w:val="20"/>
        </w:rPr>
        <w:t>建議結論：【強烈建議 Stephenson Real Estate 採用方案 B，全數發行長期債券融資 1.1 億美元】。</w:t>
        <w:br/>
        <w:br/>
        <w:t>理論依據與經濟學原理：</w:t>
        <w:br/>
        <w:t>1. 根據考慮公司所得稅的莫迪利安尼-米勒定理（MM Proposition I with Taxes），債務利息具有法定的稅前扣除特權。負債融資能為公司創造額外的利息稅盾現值：</w:t>
        <w:br/>
        <w:t>$$\text{PV of Tax Shield} = T_c \times D = 40.0\% \times \$110,000,000 = \$44,000,000 \text{ 美元 (4,400 萬美元)}$$</w:t>
        <w:br/>
        <w:t>2. 相比之下，若發行普通股籌資，股利無法扣抵稅額，稅盾現值為 $0。發行債券能替公司憑空創造 4,400 萬美元的純經濟財富，這筆財富將在宣告當天全數資本化為既有股東的每股股價增值。</w:t>
        <w:br/>
        <w:t>3. 因此，唯有發行債券才能真正達成公司價值與每股股價最大化的核心財務目標。</w:t>
      </w:r>
    </w:p>
    <w:p>
      <w:pPr>
        <w:keepNext/>
        <w:spacing w:before="240" w:after="120"/>
      </w:pPr>
      <w:r>
        <w:rPr>
          <w:rFonts w:ascii="微軟正黑體" w:hAnsi="微軟正黑體"/>
          <w:b/>
          <w:color w:val="2C5E8A"/>
          <w:sz w:val="24"/>
        </w:rPr>
        <w:t>問題二解答：宣告前市場價值資產負債表</w:t>
      </w:r>
    </w:p>
    <w:p>
      <w:pPr>
        <w:spacing w:before="0" w:after="120" w:line="276" w:lineRule="auto"/>
      </w:pPr>
      <w:r>
        <w:rPr>
          <w:rFonts w:ascii="微軟正黑體" w:hAnsi="微軟正黑體"/>
          <w:b w:val="0"/>
          <w:i w:val="0"/>
          <w:color w:val="222222"/>
          <w:sz w:val="20"/>
        </w:rPr>
        <w:t>在正式宣佈購地計劃之前，公司為 100% 全股權結構，無任何負債。其市場價值等於每股股價乘以流通股數：</w:t>
        <w:br/>
        <w:t>• 股權市場價值（$S$）= $15,000,000 \text{ 股} \times \$34.50 = \$517,500,000$ 美元</w:t>
        <w:br/>
        <w:t>• 負債市場價值（$D$）= $0 美元</w:t>
        <w:br/>
        <w:t>• 既有資產市場價值（$V_U$）= 股權市值 + 負債市值 = $517,500,000 美元</w:t>
      </w:r>
    </w:p>
    <w:tbl>
      <w:tblPr>
        <w:tblW w:type="auto" w:w="0"/>
        <w:jc w:val="center"/>
        <w:tblLook w:firstColumn="1" w:firstRow="1" w:lastColumn="0" w:lastRow="0" w:noHBand="0" w:noVBand="1" w:val="04A0"/>
      </w:tblPr>
      <w:tblGrid>
        <w:gridCol w:w="2412"/>
        <w:gridCol w:w="2412"/>
        <w:gridCol w:w="2412"/>
        <w:gridCol w:w="2412"/>
      </w:tblGrid>
      <w:tr>
        <w:tc>
          <w:tcPr>
            <w:tcW w:type="dxa" w:w="3024"/>
            <w:shd w:fill="1B365D"/>
            <w:tcMar>
              <w:top w:w="120" w:type="dxa"/>
              <w:bottom w:w="120" w:type="dxa"/>
              <w:left w:w="120" w:type="dxa"/>
              <w:right w:w="120" w:type="dxa"/>
            </w:tcMar>
          </w:tcPr>
          <w:p>
            <w:pPr>
              <w:jc w:val="center"/>
            </w:pPr>
            <w:r>
              <w:rPr>
                <w:rFonts w:ascii="微軟正黑體" w:hAnsi="微軟正黑體"/>
                <w:b/>
                <w:color w:val="FFFFFF"/>
                <w:sz w:val="19"/>
              </w:rPr>
              <w:t>資產端 (Assets)</w:t>
            </w:r>
          </w:p>
        </w:tc>
        <w:tc>
          <w:tcPr>
            <w:tcW w:type="dxa" w:w="1872"/>
            <w:shd w:fill="1B365D"/>
            <w:tcMar>
              <w:top w:w="120" w:type="dxa"/>
              <w:bottom w:w="120" w:type="dxa"/>
              <w:left w:w="120" w:type="dxa"/>
              <w:right w:w="120" w:type="dxa"/>
            </w:tcMar>
          </w:tcPr>
          <w:p>
            <w:pPr>
              <w:jc w:val="center"/>
            </w:pPr>
            <w:r>
              <w:rPr>
                <w:rFonts w:ascii="微軟正黑體" w:hAnsi="微軟正黑體"/>
                <w:b/>
                <w:color w:val="FFFFFF"/>
                <w:sz w:val="19"/>
              </w:rPr>
              <w:t>市場價值 (美元)</w:t>
            </w:r>
          </w:p>
        </w:tc>
        <w:tc>
          <w:tcPr>
            <w:tcW w:type="dxa" w:w="3024"/>
            <w:shd w:fill="1B365D"/>
            <w:tcMar>
              <w:top w:w="120" w:type="dxa"/>
              <w:bottom w:w="120" w:type="dxa"/>
              <w:left w:w="120" w:type="dxa"/>
              <w:right w:w="120" w:type="dxa"/>
            </w:tcMar>
          </w:tcPr>
          <w:p>
            <w:pPr>
              <w:jc w:val="center"/>
            </w:pPr>
            <w:r>
              <w:rPr>
                <w:rFonts w:ascii="微軟正黑體" w:hAnsi="微軟正黑體"/>
                <w:b/>
                <w:color w:val="FFFFFF"/>
                <w:sz w:val="19"/>
              </w:rPr>
              <w:t>負債與股東權益端 (Liabilities &amp; Equity)</w:t>
            </w:r>
          </w:p>
        </w:tc>
        <w:tc>
          <w:tcPr>
            <w:tcW w:type="dxa" w:w="1728"/>
            <w:shd w:fill="1B365D"/>
            <w:tcMar>
              <w:top w:w="120" w:type="dxa"/>
              <w:bottom w:w="120" w:type="dxa"/>
              <w:left w:w="120" w:type="dxa"/>
              <w:right w:w="120" w:type="dxa"/>
            </w:tcMar>
          </w:tcPr>
          <w:p>
            <w:pPr>
              <w:jc w:val="center"/>
            </w:pPr>
            <w:r>
              <w:rPr>
                <w:rFonts w:ascii="微軟正黑體" w:hAnsi="微軟正黑體"/>
                <w:b/>
                <w:color w:val="FFFFFF"/>
                <w:sz w:val="19"/>
              </w:rPr>
              <w:t>市場價值 (美元)</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既有房地產資產 (Existing Assets)</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$517,500,000</w:t>
            </w:r>
          </w:p>
        </w:tc>
        <w:tc>
          <w:tcPr>
            <w:tcW w:type="dxa" w:w="3024"/>
            <w:shd w:fill="FFFFFF"/>
            <w:tcMar>
              <w:top w:w="100" w:type="dxa"/>
              <w:bottom w:w="100" w:type="dxa"/>
              <w:left w:w="120" w:type="dxa"/>
              <w:right w:w="120" w:type="dxa"/>
            </w:tcMar>
          </w:tcPr>
          <w:p>
            <w:pPr>
              <w:jc w:val="left"/>
            </w:pPr>
            <w:r>
              <w:rPr>
                <w:rFonts w:ascii="微軟正黑體" w:hAnsi="微軟正黑體"/>
                <w:color w:val="1E1E1E"/>
                <w:sz w:val="18"/>
              </w:rPr>
              <w:t>長期負債 (Debt, D)</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$0</w:t>
            </w:r>
          </w:p>
        </w:tc>
      </w:tr>
      <w:tr>
        <w:tc>
          <w:tcPr>
            <w:tcW w:type="dxa" w:w="3024"/>
            <w:shd w:fill="F8FAFC"/>
            <w:tcMar>
              <w:top w:w="100" w:type="dxa"/>
              <w:bottom w:w="100" w:type="dxa"/>
              <w:left w:w="120" w:type="dxa"/>
              <w:right w:w="120" w:type="dxa"/>
            </w:tcMar>
          </w:tcPr>
          <w:p>
            <w:pPr>
              <w:jc w:val="center"/>
            </w:pPr>
            <w:r>
              <w:rPr>
                <w:rFonts w:ascii="微軟正黑體" w:hAnsi="微軟正黑體"/>
                <w:color w:val="1E1E1E"/>
                <w:sz w:val="18"/>
              </w:rPr>
            </w:r>
          </w:p>
        </w:tc>
        <w:tc>
          <w:tcPr>
            <w:tcW w:type="dxa" w:w="1872"/>
            <w:shd w:fill="F8FAFC"/>
            <w:tcMar>
              <w:top w:w="100" w:type="dxa"/>
              <w:bottom w:w="100" w:type="dxa"/>
              <w:left w:w="120" w:type="dxa"/>
              <w:right w:w="120" w:type="dxa"/>
            </w:tcMar>
          </w:tcPr>
          <w:p>
            <w:pPr>
              <w:jc w:val="center"/>
            </w:pPr>
            <w:r>
              <w:rPr>
                <w:rFonts w:ascii="微軟正黑體" w:hAnsi="微軟正黑體"/>
                <w:color w:val="1E1E1E"/>
                <w:sz w:val="18"/>
              </w:rPr>
            </w:r>
          </w:p>
        </w:tc>
        <w:tc>
          <w:tcPr>
            <w:tcW w:type="dxa" w:w="3024"/>
            <w:shd w:fill="F8FAFC"/>
            <w:tcMar>
              <w:top w:w="100" w:type="dxa"/>
              <w:bottom w:w="100" w:type="dxa"/>
              <w:left w:w="120" w:type="dxa"/>
              <w:right w:w="120" w:type="dxa"/>
            </w:tcMar>
          </w:tcPr>
          <w:p>
            <w:pPr>
              <w:jc w:val="right"/>
            </w:pPr>
            <w:r>
              <w:rPr>
                <w:rFonts w:ascii="微軟正黑體" w:hAnsi="微軟正黑體"/>
                <w:color w:val="1E1E1E"/>
                <w:sz w:val="18"/>
              </w:rPr>
              <w:t>股東權益 (Equity, S: 15M 股 @ $34.50)</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$517,500,000</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總資產 (Total Assets)</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$517,500,000</w:t>
            </w:r>
          </w:p>
        </w:tc>
        <w:tc>
          <w:tcPr>
            <w:tcW w:type="dxa" w:w="3024"/>
            <w:shd w:fill="FFFFFF"/>
            <w:tcMar>
              <w:top w:w="100" w:type="dxa"/>
              <w:bottom w:w="100" w:type="dxa"/>
              <w:left w:w="120" w:type="dxa"/>
              <w:right w:w="120" w:type="dxa"/>
            </w:tcMar>
          </w:tcPr>
          <w:p>
            <w:pPr>
              <w:jc w:val="left"/>
            </w:pPr>
            <w:r>
              <w:rPr>
                <w:rFonts w:ascii="微軟正黑體" w:hAnsi="微軟正黑體"/>
                <w:color w:val="1E1E1E"/>
                <w:sz w:val="18"/>
              </w:rPr>
              <w:t>負債與權益總額 (Total L &amp; E)</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$517,500,000</w:t>
            </w:r>
          </w:p>
        </w:tc>
      </w:tr>
    </w:tbl>
    <w:p>
      <w:pPr>
        <w:keepNext/>
        <w:spacing w:before="240" w:after="120"/>
      </w:pPr>
      <w:r>
        <w:rPr>
          <w:rFonts w:ascii="微軟正黑體" w:hAnsi="微軟正黑體"/>
          <w:b/>
          <w:color w:val="2C5E8A"/>
          <w:sz w:val="24"/>
        </w:rPr>
        <w:t>問題三解答：方案 A（全額增發新股）完整精算分析</w:t>
      </w:r>
    </w:p>
    <w:p>
      <w:pPr>
        <w:spacing w:before="0" w:after="120" w:line="276" w:lineRule="auto"/>
      </w:pPr>
      <w:r>
        <w:rPr>
          <w:rFonts w:ascii="微軟正黑體" w:hAnsi="微軟正黑體"/>
          <w:b w:val="0"/>
          <w:i w:val="0"/>
          <w:color w:val="222222"/>
          <w:sz w:val="20"/>
        </w:rPr>
        <w:t>1. 購地專案的淨現值（NPV）計算：</w:t>
        <w:br/>
        <w:t>由於該地塊未來的預期現金流折現值恰好等於 1.1 億美元，且全數以股票融資無任何利息稅盾，因此：</w:t>
        <w:br/>
        <w:t>$$\text{NPV}_{Equity} = \text{PV of CF} - \text{投資成本} = \$110,000,000 - \$110,000,000 = \$0$$</w:t>
        <w:br/>
        <w:br/>
        <w:t>2. 宣告後每股股價與股權市值：</w:t>
        <w:br/>
        <w:t>由於專案 NPV = $0，購地宣告不會向市場傳遞任何超額經濟利潤。</w:t>
        <w:br/>
        <w:t>• 宣告後每股股票價格維持不變：$P_1 = \$34.50 美元</w:t>
        <w:br/>
        <w:t>• 既有 1,500 萬股舊股東持股市值維持不變：$15M \times \$34.50 = \$517.5M</w:t>
        <w:br/>
        <w:br/>
        <w:t>3. 需增發之新股數量計算：</w:t>
        <w:br/>
        <w:t>為了籌集 1.1 億美元現金，公司必須以每股 $34.50 的市價增發新股：</w:t>
        <w:br/>
        <w:t>$$\text{增發股數 } \Delta N = \frac{\text{籌資金額}}{P_1} = \frac{\$110,000,000}{\$34.50} \approx 3,188,405.80 \text{ 股} \approx 3,188,406 \text{ 股}$$</w:t>
        <w:br/>
        <w:t>• 發行後總流通股數 $= 15,000,000 + 3,188,406 = 18,188,406 \text{ 股}$</w:t>
        <w:br/>
        <w:t>• 新股東出資規模 $= 3,188,406 \times \$34.50 = \$110,000,000$</w:t>
        <w:br/>
        <w:t>• 發行新股並購地後的總股權市值 $= 18,188,406 \text{ 股} \times \$34.50 = \$627,500,000 美元</w:t>
        <w:br/>
        <w:br/>
        <w:t>4. 方案 A 完成後之市場價值資產負債表：</w:t>
      </w:r>
    </w:p>
    <w:tbl>
      <w:tblPr>
        <w:tblW w:type="auto" w:w="0"/>
        <w:jc w:val="center"/>
        <w:tblLook w:firstColumn="1" w:firstRow="1" w:lastColumn="0" w:lastRow="0" w:noHBand="0" w:noVBand="1" w:val="04A0"/>
      </w:tblPr>
      <w:tblGrid>
        <w:gridCol w:w="2412"/>
        <w:gridCol w:w="2412"/>
        <w:gridCol w:w="2412"/>
        <w:gridCol w:w="2412"/>
      </w:tblGrid>
      <w:tr>
        <w:tc>
          <w:tcPr>
            <w:tcW w:type="dxa" w:w="3024"/>
            <w:shd w:fill="1B365D"/>
            <w:tcMar>
              <w:top w:w="120" w:type="dxa"/>
              <w:bottom w:w="120" w:type="dxa"/>
              <w:left w:w="120" w:type="dxa"/>
              <w:right w:w="120" w:type="dxa"/>
            </w:tcMar>
          </w:tcPr>
          <w:p>
            <w:pPr>
              <w:jc w:val="center"/>
            </w:pPr>
            <w:r>
              <w:rPr>
                <w:rFonts w:ascii="微軟正黑體" w:hAnsi="微軟正黑體"/>
                <w:b/>
                <w:color w:val="FFFFFF"/>
                <w:sz w:val="19"/>
              </w:rPr>
              <w:t>資產端 (Assets)</w:t>
            </w:r>
          </w:p>
        </w:tc>
        <w:tc>
          <w:tcPr>
            <w:tcW w:type="dxa" w:w="1872"/>
            <w:shd w:fill="1B365D"/>
            <w:tcMar>
              <w:top w:w="120" w:type="dxa"/>
              <w:bottom w:w="120" w:type="dxa"/>
              <w:left w:w="120" w:type="dxa"/>
              <w:right w:w="120" w:type="dxa"/>
            </w:tcMar>
          </w:tcPr>
          <w:p>
            <w:pPr>
              <w:jc w:val="center"/>
            </w:pPr>
            <w:r>
              <w:rPr>
                <w:rFonts w:ascii="微軟正黑體" w:hAnsi="微軟正黑體"/>
                <w:b/>
                <w:color w:val="FFFFFF"/>
                <w:sz w:val="19"/>
              </w:rPr>
              <w:t>市場價值 (美元)</w:t>
            </w:r>
          </w:p>
        </w:tc>
        <w:tc>
          <w:tcPr>
            <w:tcW w:type="dxa" w:w="3024"/>
            <w:shd w:fill="1B365D"/>
            <w:tcMar>
              <w:top w:w="120" w:type="dxa"/>
              <w:bottom w:w="120" w:type="dxa"/>
              <w:left w:w="120" w:type="dxa"/>
              <w:right w:w="120" w:type="dxa"/>
            </w:tcMar>
          </w:tcPr>
          <w:p>
            <w:pPr>
              <w:jc w:val="center"/>
            </w:pPr>
            <w:r>
              <w:rPr>
                <w:rFonts w:ascii="微軟正黑體" w:hAnsi="微軟正黑體"/>
                <w:b/>
                <w:color w:val="FFFFFF"/>
                <w:sz w:val="19"/>
              </w:rPr>
              <w:t>負債與股東權益端 (Liabilities &amp; Equity)</w:t>
            </w:r>
          </w:p>
        </w:tc>
        <w:tc>
          <w:tcPr>
            <w:tcW w:type="dxa" w:w="1728"/>
            <w:shd w:fill="1B365D"/>
            <w:tcMar>
              <w:top w:w="120" w:type="dxa"/>
              <w:bottom w:w="120" w:type="dxa"/>
              <w:left w:w="120" w:type="dxa"/>
              <w:right w:w="120" w:type="dxa"/>
            </w:tcMar>
          </w:tcPr>
          <w:p>
            <w:pPr>
              <w:jc w:val="center"/>
            </w:pPr>
            <w:r>
              <w:rPr>
                <w:rFonts w:ascii="微軟正黑體" w:hAnsi="微軟正黑體"/>
                <w:b/>
                <w:color w:val="FFFFFF"/>
                <w:sz w:val="19"/>
              </w:rPr>
              <w:t>市場價值 (美元)</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既有房地產資產 (Existing Assets)</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$517,500,000</w:t>
            </w:r>
          </w:p>
        </w:tc>
        <w:tc>
          <w:tcPr>
            <w:tcW w:type="dxa" w:w="3024"/>
            <w:shd w:fill="FFFFFF"/>
            <w:tcMar>
              <w:top w:w="100" w:type="dxa"/>
              <w:bottom w:w="100" w:type="dxa"/>
              <w:left w:w="120" w:type="dxa"/>
              <w:right w:w="120" w:type="dxa"/>
            </w:tcMar>
          </w:tcPr>
          <w:p>
            <w:pPr>
              <w:jc w:val="left"/>
            </w:pPr>
            <w:r>
              <w:rPr>
                <w:rFonts w:ascii="微軟正黑體" w:hAnsi="微軟正黑體"/>
                <w:color w:val="1E1E1E"/>
                <w:sz w:val="18"/>
              </w:rPr>
              <w:t>長期負債 (Debt, D)</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$0</w:t>
            </w:r>
          </w:p>
        </w:tc>
      </w:tr>
      <w:tr>
        <w:tc>
          <w:tcPr>
            <w:tcW w:type="dxa" w:w="3024"/>
            <w:shd w:fill="F8FAFC"/>
            <w:tcMar>
              <w:top w:w="100" w:type="dxa"/>
              <w:bottom w:w="100" w:type="dxa"/>
              <w:left w:w="120" w:type="dxa"/>
              <w:right w:w="120" w:type="dxa"/>
            </w:tcMar>
          </w:tcPr>
          <w:p>
            <w:pPr>
              <w:jc w:val="left"/>
            </w:pPr>
            <w:r>
              <w:rPr>
                <w:rFonts w:ascii="微軟正黑體" w:hAnsi="微軟正黑體"/>
                <w:color w:val="1E1E1E"/>
                <w:sz w:val="18"/>
              </w:rPr>
              <w:t>新購置商業地塊 (New Land)</w:t>
            </w:r>
          </w:p>
        </w:tc>
        <w:tc>
          <w:tcPr>
            <w:tcW w:type="dxa" w:w="1872"/>
            <w:shd w:fill="F8FAFC"/>
            <w:tcMar>
              <w:top w:w="100" w:type="dxa"/>
              <w:bottom w:w="100" w:type="dxa"/>
              <w:left w:w="120" w:type="dxa"/>
              <w:right w:w="120" w:type="dxa"/>
            </w:tcMar>
          </w:tcPr>
          <w:p>
            <w:pPr>
              <w:jc w:val="right"/>
            </w:pPr>
            <w:r>
              <w:rPr>
                <w:rFonts w:ascii="微軟正黑體" w:hAnsi="微軟正黑體"/>
                <w:color w:val="1E1E1E"/>
                <w:sz w:val="18"/>
              </w:rPr>
              <w:t>$110,000,000</w:t>
            </w:r>
          </w:p>
        </w:tc>
        <w:tc>
          <w:tcPr>
            <w:tcW w:type="dxa" w:w="3024"/>
            <w:shd w:fill="F8FAFC"/>
            <w:tcMar>
              <w:top w:w="100" w:type="dxa"/>
              <w:bottom w:w="100" w:type="dxa"/>
              <w:left w:w="120" w:type="dxa"/>
              <w:right w:w="120" w:type="dxa"/>
            </w:tcMar>
          </w:tcPr>
          <w:p>
            <w:pPr>
              <w:jc w:val="left"/>
            </w:pPr>
            <w:r>
              <w:rPr>
                <w:rFonts w:ascii="微軟正黑體" w:hAnsi="微軟正黑體"/>
                <w:color w:val="1E1E1E"/>
                <w:sz w:val="18"/>
              </w:rPr>
              <w:t>舊股東權益 (Old Equity: 15.00M 股)</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$517,500,000</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專案超額淨現值 (NPV)</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$0</w:t>
            </w:r>
          </w:p>
        </w:tc>
        <w:tc>
          <w:tcPr>
            <w:tcW w:type="dxa" w:w="3024"/>
            <w:shd w:fill="FFFFFF"/>
            <w:tcMar>
              <w:top w:w="100" w:type="dxa"/>
              <w:bottom w:w="100" w:type="dxa"/>
              <w:left w:w="120" w:type="dxa"/>
              <w:right w:w="120" w:type="dxa"/>
            </w:tcMar>
          </w:tcPr>
          <w:p>
            <w:pPr>
              <w:jc w:val="left"/>
            </w:pPr>
            <w:r>
              <w:rPr>
                <w:rFonts w:ascii="微軟正黑體" w:hAnsi="微軟正黑體"/>
                <w:color w:val="1E1E1E"/>
                <w:sz w:val="18"/>
              </w:rPr>
              <w:t>新股東權益 (New Equity: 3.19M 股)</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$110,000,000</w:t>
            </w:r>
          </w:p>
        </w:tc>
      </w:tr>
      <w:tr>
        <w:tc>
          <w:tcPr>
            <w:tcW w:type="dxa" w:w="3024"/>
            <w:shd w:fill="F8FAFC"/>
            <w:tcMar>
              <w:top w:w="100" w:type="dxa"/>
              <w:bottom w:w="100" w:type="dxa"/>
              <w:left w:w="120" w:type="dxa"/>
              <w:right w:w="120" w:type="dxa"/>
            </w:tcMar>
          </w:tcPr>
          <w:p>
            <w:pPr>
              <w:jc w:val="left"/>
            </w:pPr>
            <w:r>
              <w:rPr>
                <w:rFonts w:ascii="微軟正黑體" w:hAnsi="微軟正黑體"/>
                <w:color w:val="1E1E1E"/>
                <w:sz w:val="18"/>
              </w:rPr>
              <w:t>總資產 (Total Assets)</w:t>
            </w:r>
          </w:p>
        </w:tc>
        <w:tc>
          <w:tcPr>
            <w:tcW w:type="dxa" w:w="1872"/>
            <w:shd w:fill="F8FAFC"/>
            <w:tcMar>
              <w:top w:w="100" w:type="dxa"/>
              <w:bottom w:w="100" w:type="dxa"/>
              <w:left w:w="120" w:type="dxa"/>
              <w:right w:w="120" w:type="dxa"/>
            </w:tcMar>
          </w:tcPr>
          <w:p>
            <w:pPr>
              <w:jc w:val="right"/>
            </w:pPr>
            <w:r>
              <w:rPr>
                <w:rFonts w:ascii="微軟正黑體" w:hAnsi="微軟正黑體"/>
                <w:color w:val="1E1E1E"/>
                <w:sz w:val="18"/>
              </w:rPr>
              <w:t>$627,500,000</w:t>
            </w:r>
          </w:p>
        </w:tc>
        <w:tc>
          <w:tcPr>
            <w:tcW w:type="dxa" w:w="3024"/>
            <w:shd w:fill="F8FAFC"/>
            <w:tcMar>
              <w:top w:w="100" w:type="dxa"/>
              <w:bottom w:w="100" w:type="dxa"/>
              <w:left w:w="120" w:type="dxa"/>
              <w:right w:w="120" w:type="dxa"/>
            </w:tcMar>
          </w:tcPr>
          <w:p>
            <w:pPr>
              <w:jc w:val="left"/>
            </w:pPr>
            <w:r>
              <w:rPr>
                <w:rFonts w:ascii="微軟正黑體" w:hAnsi="微軟正黑體"/>
                <w:color w:val="1E1E1E"/>
                <w:sz w:val="18"/>
              </w:rPr>
              <w:t>負債與權益總額 (Total L &amp; E)</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$627,500,000</w:t>
            </w:r>
          </w:p>
        </w:tc>
      </w:tr>
    </w:tbl>
    <w:p>
      <w:pPr>
        <w:keepNext/>
        <w:spacing w:before="240" w:after="120"/>
      </w:pPr>
      <w:r>
        <w:rPr>
          <w:rFonts w:ascii="微軟正黑體" w:hAnsi="微軟正黑體"/>
          <w:b/>
          <w:color w:val="2C5E8A"/>
          <w:sz w:val="24"/>
        </w:rPr>
        <w:t>問題四解答：方案 B（全額發行債券）完整精算分析</w:t>
      </w:r>
    </w:p>
    <w:p>
      <w:pPr>
        <w:spacing w:before="0" w:after="120" w:line="276" w:lineRule="auto"/>
      </w:pPr>
      <w:r>
        <w:rPr>
          <w:rFonts w:ascii="微軟正黑體" w:hAnsi="微軟正黑體"/>
          <w:b w:val="0"/>
          <w:i w:val="0"/>
          <w:color w:val="222222"/>
          <w:sz w:val="20"/>
        </w:rPr>
        <w:t>1. 利息稅盾現值（PV of Tax Shield）計算：</w:t>
        <w:br/>
        <w:t>$$\text{PV of Tax Shield} = T_c \times D = 40.0\% \times \$110,000,000 = \$44,000,000 \text{ 美元}$$</w:t>
        <w:br/>
        <w:t>計入稅盾後，該購地投資案的槓桿調整淨現值（APV / Levered NPV）為：</w:t>
        <w:br/>
        <w:t>$$\text{NPV}_{Debt} = \text{專案基本無槓桿 NPV} + \text{PV of Tax Shield} = \$0 + \$44,000,000 = \$44,000,000 \text{ 美元}$$</w:t>
        <w:br/>
        <w:br/>
        <w:t>2. 宣告後公司總市場價值（$V_L$）與股權市值（$S$）：</w:t>
        <w:br/>
        <w:t>在有效市場假說下，當公司正式向市場宣佈【購地並全額發行 1.1 億美元債券】的當下，4,400 萬美元的稅盾現值立即被市場定價：</w:t>
        <w:br/>
        <w:t>• 公司總市場價值（$V_L$）$= V_U + \text{新購土地價值} + \text{稅盾現值}$</w:t>
        <w:br/>
        <w:t>$$V_L = \$517,500,000 + \$110,000,000 + \$44,000,000 = \$671,500,000 \text{ 美元}$$</w:t>
        <w:br/>
        <w:t>• 股權總市場價值（$S$）$= V_L - \text{負債總額 (D)}$</w:t>
        <w:br/>
        <w:t>$$S = \$671,500,000 - \$110,000,000 = \$561,500,000 \text{ 美元}$$</w:t>
        <w:br/>
        <w:br/>
        <w:t>3. 宣告後每股股價與股東財富增長：</w:t>
        <w:br/>
        <w:t>由於公司全額以發行債券籌資，並未增發任何一股新股，流通股數依然為原本的 1,500 萬股！</w:t>
        <w:br/>
        <w:t>全數 4,400 萬美元的利息稅盾財富，完全由原本的 1,500 萬股舊股東獨享：</w:t>
        <w:br/>
        <w:t>$$\text{宣告後新每股股價 } P_{1, Debt} = \frac{\text{股權總市值 } S}{\text{流通在外股數 } N_0} = \frac{\$561,500,000}{15,000,000 \text{ 股}} = \$37.4333 \approx \$37.43 \text{ 美元}$$</w:t>
        <w:br/>
        <w:t>• 每股股價淨增加額 $= \$37.4333 - \$34.5000 = +\$2.9333 \text{ 美元 (即增值 +8.50%)}$</w:t>
        <w:br/>
        <w:t>驗算：每股增值恰好等於每股享受之稅盾現值：$\frac{\$44,000,000}{15,000,000 \text{ 股}} = \$2.9333$ 美元！</w:t>
        <w:br/>
        <w:br/>
        <w:t>4. 方案 B 完成後之市場價值資產負債表：</w:t>
      </w:r>
    </w:p>
    <w:tbl>
      <w:tblPr>
        <w:tblW w:type="auto" w:w="0"/>
        <w:jc w:val="center"/>
        <w:tblLook w:firstColumn="1" w:firstRow="1" w:lastColumn="0" w:lastRow="0" w:noHBand="0" w:noVBand="1" w:val="04A0"/>
      </w:tblPr>
      <w:tblGrid>
        <w:gridCol w:w="2412"/>
        <w:gridCol w:w="2412"/>
        <w:gridCol w:w="2412"/>
        <w:gridCol w:w="2412"/>
      </w:tblGrid>
      <w:tr>
        <w:tc>
          <w:tcPr>
            <w:tcW w:type="dxa" w:w="3024"/>
            <w:shd w:fill="1B365D"/>
            <w:tcMar>
              <w:top w:w="120" w:type="dxa"/>
              <w:bottom w:w="120" w:type="dxa"/>
              <w:left w:w="120" w:type="dxa"/>
              <w:right w:w="120" w:type="dxa"/>
            </w:tcMar>
          </w:tcPr>
          <w:p>
            <w:pPr>
              <w:jc w:val="center"/>
            </w:pPr>
            <w:r>
              <w:rPr>
                <w:rFonts w:ascii="微軟正黑體" w:hAnsi="微軟正黑體"/>
                <w:b/>
                <w:color w:val="FFFFFF"/>
                <w:sz w:val="19"/>
              </w:rPr>
              <w:t>資產端 (Assets)</w:t>
            </w:r>
          </w:p>
        </w:tc>
        <w:tc>
          <w:tcPr>
            <w:tcW w:type="dxa" w:w="1872"/>
            <w:shd w:fill="1B365D"/>
            <w:tcMar>
              <w:top w:w="120" w:type="dxa"/>
              <w:bottom w:w="120" w:type="dxa"/>
              <w:left w:w="120" w:type="dxa"/>
              <w:right w:w="120" w:type="dxa"/>
            </w:tcMar>
          </w:tcPr>
          <w:p>
            <w:pPr>
              <w:jc w:val="center"/>
            </w:pPr>
            <w:r>
              <w:rPr>
                <w:rFonts w:ascii="微軟正黑體" w:hAnsi="微軟正黑體"/>
                <w:b/>
                <w:color w:val="FFFFFF"/>
                <w:sz w:val="19"/>
              </w:rPr>
              <w:t>市場價值 (美元)</w:t>
            </w:r>
          </w:p>
        </w:tc>
        <w:tc>
          <w:tcPr>
            <w:tcW w:type="dxa" w:w="3024"/>
            <w:shd w:fill="1B365D"/>
            <w:tcMar>
              <w:top w:w="120" w:type="dxa"/>
              <w:bottom w:w="120" w:type="dxa"/>
              <w:left w:w="120" w:type="dxa"/>
              <w:right w:w="120" w:type="dxa"/>
            </w:tcMar>
          </w:tcPr>
          <w:p>
            <w:pPr>
              <w:jc w:val="center"/>
            </w:pPr>
            <w:r>
              <w:rPr>
                <w:rFonts w:ascii="微軟正黑體" w:hAnsi="微軟正黑體"/>
                <w:b/>
                <w:color w:val="FFFFFF"/>
                <w:sz w:val="19"/>
              </w:rPr>
              <w:t>負債與股東權益端 (Liabilities &amp; Equity)</w:t>
            </w:r>
          </w:p>
        </w:tc>
        <w:tc>
          <w:tcPr>
            <w:tcW w:type="dxa" w:w="1728"/>
            <w:shd w:fill="1B365D"/>
            <w:tcMar>
              <w:top w:w="120" w:type="dxa"/>
              <w:bottom w:w="120" w:type="dxa"/>
              <w:left w:w="120" w:type="dxa"/>
              <w:right w:w="120" w:type="dxa"/>
            </w:tcMar>
          </w:tcPr>
          <w:p>
            <w:pPr>
              <w:jc w:val="center"/>
            </w:pPr>
            <w:r>
              <w:rPr>
                <w:rFonts w:ascii="微軟正黑體" w:hAnsi="微軟正黑體"/>
                <w:b/>
                <w:color w:val="FFFFFF"/>
                <w:sz w:val="19"/>
              </w:rPr>
              <w:t>市場價值 (美元)</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既有房地產資產 (Existing Assets)</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$517,500,000</w:t>
            </w:r>
          </w:p>
        </w:tc>
        <w:tc>
          <w:tcPr>
            <w:tcW w:type="dxa" w:w="3024"/>
            <w:shd w:fill="FFFFFF"/>
            <w:tcMar>
              <w:top w:w="100" w:type="dxa"/>
              <w:bottom w:w="100" w:type="dxa"/>
              <w:left w:w="120" w:type="dxa"/>
              <w:right w:w="120" w:type="dxa"/>
            </w:tcMar>
          </w:tcPr>
          <w:p>
            <w:pPr>
              <w:jc w:val="left"/>
            </w:pPr>
            <w:r>
              <w:rPr>
                <w:rFonts w:ascii="微軟正黑體" w:hAnsi="微軟正黑體"/>
                <w:color w:val="1E1E1E"/>
                <w:sz w:val="18"/>
              </w:rPr>
              <w:t>長期公司債 (New Debt, D)</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$110,000,000</w:t>
            </w:r>
          </w:p>
        </w:tc>
      </w:tr>
      <w:tr>
        <w:tc>
          <w:tcPr>
            <w:tcW w:type="dxa" w:w="3024"/>
            <w:shd w:fill="F8FAFC"/>
            <w:tcMar>
              <w:top w:w="100" w:type="dxa"/>
              <w:bottom w:w="100" w:type="dxa"/>
              <w:left w:w="120" w:type="dxa"/>
              <w:right w:w="120" w:type="dxa"/>
            </w:tcMar>
          </w:tcPr>
          <w:p>
            <w:pPr>
              <w:jc w:val="left"/>
            </w:pPr>
            <w:r>
              <w:rPr>
                <w:rFonts w:ascii="微軟正黑體" w:hAnsi="微軟正黑體"/>
                <w:color w:val="1E1E1E"/>
                <w:sz w:val="18"/>
              </w:rPr>
              <w:t>新購置商業地塊 (New Land)</w:t>
            </w:r>
          </w:p>
        </w:tc>
        <w:tc>
          <w:tcPr>
            <w:tcW w:type="dxa" w:w="1872"/>
            <w:shd w:fill="F8FAFC"/>
            <w:tcMar>
              <w:top w:w="100" w:type="dxa"/>
              <w:bottom w:w="100" w:type="dxa"/>
              <w:left w:w="120" w:type="dxa"/>
              <w:right w:w="120" w:type="dxa"/>
            </w:tcMar>
          </w:tcPr>
          <w:p>
            <w:pPr>
              <w:jc w:val="right"/>
            </w:pPr>
            <w:r>
              <w:rPr>
                <w:rFonts w:ascii="微軟正黑體" w:hAnsi="微軟正黑體"/>
                <w:color w:val="1E1E1E"/>
                <w:sz w:val="18"/>
              </w:rPr>
              <w:t>$110,000,000</w:t>
            </w:r>
          </w:p>
        </w:tc>
        <w:tc>
          <w:tcPr>
            <w:tcW w:type="dxa" w:w="3024"/>
            <w:shd w:fill="F8FAFC"/>
            <w:tcMar>
              <w:top w:w="100" w:type="dxa"/>
              <w:bottom w:w="100" w:type="dxa"/>
              <w:left w:w="120" w:type="dxa"/>
              <w:right w:w="120" w:type="dxa"/>
            </w:tcMar>
          </w:tcPr>
          <w:p>
            <w:pPr>
              <w:jc w:val="center"/>
            </w:pPr>
            <w:r>
              <w:rPr>
                <w:rFonts w:ascii="微軟正黑體" w:hAnsi="微軟正黑體"/>
                <w:color w:val="1E1E1E"/>
                <w:sz w:val="18"/>
              </w:rPr>
            </w:r>
          </w:p>
        </w:tc>
        <w:tc>
          <w:tcPr>
            <w:tcW w:type="dxa" w:w="1728"/>
            <w:shd w:fill="F8FAFC"/>
            <w:tcMar>
              <w:top w:w="100" w:type="dxa"/>
              <w:bottom w:w="100" w:type="dxa"/>
              <w:left w:w="120" w:type="dxa"/>
              <w:right w:w="120" w:type="dxa"/>
            </w:tcMar>
          </w:tcPr>
          <w:p>
            <w:pPr>
              <w:jc w:val="center"/>
            </w:pPr>
            <w:r>
              <w:rPr>
                <w:rFonts w:ascii="微軟正黑體" w:hAnsi="微軟正黑體"/>
                <w:color w:val="1E1E1E"/>
                <w:sz w:val="18"/>
              </w:rPr>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利息稅盾現值 (PV of Tax Shield)</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$44,000,000</w:t>
            </w:r>
          </w:p>
        </w:tc>
        <w:tc>
          <w:tcPr>
            <w:tcW w:type="dxa" w:w="3024"/>
            <w:shd w:fill="FFFFFF"/>
            <w:tcMar>
              <w:top w:w="100" w:type="dxa"/>
              <w:bottom w:w="100" w:type="dxa"/>
              <w:left w:w="120" w:type="dxa"/>
              <w:right w:w="120" w:type="dxa"/>
            </w:tcMar>
          </w:tcPr>
          <w:p>
            <w:pPr>
              <w:jc w:val="right"/>
            </w:pPr>
            <w:r>
              <w:rPr>
                <w:rFonts w:ascii="微軟正黑體" w:hAnsi="微軟正黑體"/>
                <w:color w:val="1E1E1E"/>
                <w:sz w:val="18"/>
              </w:rPr>
              <w:t>股東權益 (Equity, S: 15M 股 @ $37.43)</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$561,500,000</w:t>
            </w:r>
          </w:p>
        </w:tc>
      </w:tr>
      <w:tr>
        <w:tc>
          <w:tcPr>
            <w:tcW w:type="dxa" w:w="3024"/>
            <w:shd w:fill="F8FAFC"/>
            <w:tcMar>
              <w:top w:w="100" w:type="dxa"/>
              <w:bottom w:w="100" w:type="dxa"/>
              <w:left w:w="120" w:type="dxa"/>
              <w:right w:w="120" w:type="dxa"/>
            </w:tcMar>
          </w:tcPr>
          <w:p>
            <w:pPr>
              <w:jc w:val="left"/>
            </w:pPr>
            <w:r>
              <w:rPr>
                <w:rFonts w:ascii="微軟正黑體" w:hAnsi="微軟正黑體"/>
                <w:color w:val="1E1E1E"/>
                <w:sz w:val="18"/>
              </w:rPr>
              <w:t>總資產 (Total Assets)</w:t>
            </w:r>
          </w:p>
        </w:tc>
        <w:tc>
          <w:tcPr>
            <w:tcW w:type="dxa" w:w="1872"/>
            <w:shd w:fill="F8FAFC"/>
            <w:tcMar>
              <w:top w:w="100" w:type="dxa"/>
              <w:bottom w:w="100" w:type="dxa"/>
              <w:left w:w="120" w:type="dxa"/>
              <w:right w:w="120" w:type="dxa"/>
            </w:tcMar>
          </w:tcPr>
          <w:p>
            <w:pPr>
              <w:jc w:val="right"/>
            </w:pPr>
            <w:r>
              <w:rPr>
                <w:rFonts w:ascii="微軟正黑體" w:hAnsi="微軟正黑體"/>
                <w:color w:val="1E1E1E"/>
                <w:sz w:val="18"/>
              </w:rPr>
              <w:t>$671,500,000</w:t>
            </w:r>
          </w:p>
        </w:tc>
        <w:tc>
          <w:tcPr>
            <w:tcW w:type="dxa" w:w="3024"/>
            <w:shd w:fill="F8FAFC"/>
            <w:tcMar>
              <w:top w:w="100" w:type="dxa"/>
              <w:bottom w:w="100" w:type="dxa"/>
              <w:left w:w="120" w:type="dxa"/>
              <w:right w:w="120" w:type="dxa"/>
            </w:tcMar>
          </w:tcPr>
          <w:p>
            <w:pPr>
              <w:jc w:val="left"/>
            </w:pPr>
            <w:r>
              <w:rPr>
                <w:rFonts w:ascii="微軟正黑體" w:hAnsi="微軟正黑體"/>
                <w:color w:val="1E1E1E"/>
                <w:sz w:val="18"/>
              </w:rPr>
              <w:t>負債與權益總額 (Total L &amp; E)</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$671,500,000</w:t>
            </w:r>
          </w:p>
        </w:tc>
      </w:tr>
    </w:tbl>
    <w:p>
      <w:pPr>
        <w:keepNext/>
        <w:spacing w:before="240" w:after="120"/>
      </w:pPr>
      <w:r>
        <w:rPr>
          <w:rFonts w:ascii="微軟正黑體" w:hAnsi="微軟正黑體"/>
          <w:b/>
          <w:color w:val="2C5E8A"/>
          <w:sz w:val="24"/>
        </w:rPr>
        <w:t>問題五解答：融資方案深度比較與公司治理啟示</w:t>
      </w:r>
    </w:p>
    <w:p>
      <w:pPr>
        <w:spacing w:before="0" w:after="120" w:line="276" w:lineRule="auto"/>
      </w:pPr>
      <w:r>
        <w:rPr>
          <w:rFonts w:ascii="微軟正黑體" w:hAnsi="微軟正黑體"/>
          <w:b w:val="0"/>
          <w:i w:val="0"/>
          <w:color w:val="222222"/>
          <w:sz w:val="20"/>
        </w:rPr>
        <w:t>1. 方案 A 與方案 B 核心財務指標對比表：</w:t>
      </w:r>
    </w:p>
    <w:tbl>
      <w:tblPr>
        <w:tblW w:type="auto" w:w="0"/>
        <w:jc w:val="center"/>
        <w:tblLook w:firstColumn="1" w:firstRow="1" w:lastColumn="0" w:lastRow="0" w:noHBand="0" w:noVBand="1" w:val="04A0"/>
      </w:tblPr>
      <w:tblGrid>
        <w:gridCol w:w="2412"/>
        <w:gridCol w:w="2412"/>
        <w:gridCol w:w="2412"/>
        <w:gridCol w:w="2412"/>
      </w:tblGrid>
      <w:tr>
        <w:tc>
          <w:tcPr>
            <w:tcW w:type="dxa" w:w="2736"/>
            <w:shd w:fill="1B365D"/>
            <w:tcMar>
              <w:top w:w="120" w:type="dxa"/>
              <w:bottom w:w="120" w:type="dxa"/>
              <w:left w:w="120" w:type="dxa"/>
              <w:right w:w="120" w:type="dxa"/>
            </w:tcMar>
          </w:tcPr>
          <w:p>
            <w:pPr>
              <w:jc w:val="center"/>
            </w:pPr>
            <w:r>
              <w:rPr>
                <w:rFonts w:ascii="微軟正黑體" w:hAnsi="微軟正黑體"/>
                <w:b/>
                <w:color w:val="FFFFFF"/>
                <w:sz w:val="19"/>
              </w:rPr>
              <w:t>財務比較維度</w:t>
            </w:r>
          </w:p>
        </w:tc>
        <w:tc>
          <w:tcPr>
            <w:tcW w:type="dxa" w:w="2016"/>
            <w:shd w:fill="1B365D"/>
            <w:tcMar>
              <w:top w:w="120" w:type="dxa"/>
              <w:bottom w:w="120" w:type="dxa"/>
              <w:left w:w="120" w:type="dxa"/>
              <w:right w:w="120" w:type="dxa"/>
            </w:tcMar>
          </w:tcPr>
          <w:p>
            <w:pPr>
              <w:jc w:val="center"/>
            </w:pPr>
            <w:r>
              <w:rPr>
                <w:rFonts w:ascii="微軟正黑體" w:hAnsi="微軟正黑體"/>
                <w:b/>
                <w:color w:val="FFFFFF"/>
                <w:sz w:val="19"/>
              </w:rPr>
              <w:t>方案 A (發行新股)</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方案 B (發行債券)</w:t>
            </w:r>
          </w:p>
        </w:tc>
        <w:tc>
          <w:tcPr>
            <w:tcW w:type="dxa" w:w="2736"/>
            <w:shd w:fill="1B365D"/>
            <w:tcMar>
              <w:top w:w="120" w:type="dxa"/>
              <w:bottom w:w="120" w:type="dxa"/>
              <w:left w:w="120" w:type="dxa"/>
              <w:right w:w="120" w:type="dxa"/>
            </w:tcMar>
          </w:tcPr>
          <w:p>
            <w:pPr>
              <w:jc w:val="center"/>
            </w:pPr>
            <w:r>
              <w:rPr>
                <w:rFonts w:ascii="微軟正黑體" w:hAnsi="微軟正黑體"/>
                <w:b/>
                <w:color w:val="FFFFFF"/>
                <w:sz w:val="19"/>
              </w:rPr>
              <w:t>方案 B 帶來的優勢/差異</w:t>
            </w:r>
          </w:p>
        </w:tc>
      </w:tr>
      <w:tr>
        <w:tc>
          <w:tcPr>
            <w:tcW w:type="dxa" w:w="2736"/>
            <w:shd w:fill="FFFFFF"/>
            <w:tcMar>
              <w:top w:w="100" w:type="dxa"/>
              <w:bottom w:w="100" w:type="dxa"/>
              <w:left w:w="120" w:type="dxa"/>
              <w:right w:w="120" w:type="dxa"/>
            </w:tcMar>
          </w:tcPr>
          <w:p>
            <w:pPr>
              <w:jc w:val="left"/>
            </w:pPr>
            <w:r>
              <w:rPr>
                <w:rFonts w:ascii="微軟正黑體" w:hAnsi="微軟正黑體"/>
                <w:color w:val="1E1E1E"/>
                <w:sz w:val="18"/>
              </w:rPr>
              <w:t>公司總市場價值 (VL)</w:t>
            </w:r>
          </w:p>
        </w:tc>
        <w:tc>
          <w:tcPr>
            <w:tcW w:type="dxa" w:w="2016"/>
            <w:shd w:fill="FFFFFF"/>
            <w:tcMar>
              <w:top w:w="100" w:type="dxa"/>
              <w:bottom w:w="100" w:type="dxa"/>
              <w:left w:w="120" w:type="dxa"/>
              <w:right w:w="120" w:type="dxa"/>
            </w:tcMar>
          </w:tcPr>
          <w:p>
            <w:pPr>
              <w:jc w:val="right"/>
            </w:pPr>
            <w:r>
              <w:rPr>
                <w:rFonts w:ascii="微軟正黑體" w:hAnsi="微軟正黑體"/>
                <w:color w:val="1E1E1E"/>
                <w:sz w:val="18"/>
              </w:rPr>
              <w:t>$627,500,000</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$671,500,000</w:t>
            </w:r>
          </w:p>
        </w:tc>
        <w:tc>
          <w:tcPr>
            <w:tcW w:type="dxa" w:w="2736"/>
            <w:shd w:fill="FFFFFF"/>
            <w:tcMar>
              <w:top w:w="100" w:type="dxa"/>
              <w:bottom w:w="100" w:type="dxa"/>
              <w:left w:w="120" w:type="dxa"/>
              <w:right w:w="120" w:type="dxa"/>
            </w:tcMar>
          </w:tcPr>
          <w:p>
            <w:pPr>
              <w:jc w:val="right"/>
            </w:pPr>
            <w:r>
              <w:rPr>
                <w:rFonts w:ascii="微軟正黑體" w:hAnsi="微軟正黑體"/>
                <w:color w:val="1E1E1E"/>
                <w:sz w:val="18"/>
              </w:rPr>
              <w:t>+$44,000,000 (稅盾現值)</w:t>
            </w:r>
          </w:p>
        </w:tc>
      </w:tr>
      <w:tr>
        <w:tc>
          <w:tcPr>
            <w:tcW w:type="dxa" w:w="2736"/>
            <w:shd w:fill="F8FAFC"/>
            <w:tcMar>
              <w:top w:w="100" w:type="dxa"/>
              <w:bottom w:w="100" w:type="dxa"/>
              <w:left w:w="120" w:type="dxa"/>
              <w:right w:w="120" w:type="dxa"/>
            </w:tcMar>
          </w:tcPr>
          <w:p>
            <w:pPr>
              <w:jc w:val="center"/>
            </w:pPr>
            <w:r>
              <w:rPr>
                <w:rFonts w:ascii="微軟正黑體" w:hAnsi="微軟正黑體"/>
                <w:color w:val="1E1E1E"/>
                <w:sz w:val="18"/>
              </w:rPr>
              <w:t>流通在外總股數</w:t>
            </w:r>
          </w:p>
        </w:tc>
        <w:tc>
          <w:tcPr>
            <w:tcW w:type="dxa" w:w="2016"/>
            <w:shd w:fill="F8FAFC"/>
            <w:tcMar>
              <w:top w:w="100" w:type="dxa"/>
              <w:bottom w:w="100" w:type="dxa"/>
              <w:left w:w="120" w:type="dxa"/>
              <w:right w:w="120" w:type="dxa"/>
            </w:tcMar>
          </w:tcPr>
          <w:p>
            <w:pPr>
              <w:jc w:val="left"/>
            </w:pPr>
            <w:r>
              <w:rPr>
                <w:rFonts w:ascii="微軟正黑體" w:hAnsi="微軟正黑體"/>
                <w:color w:val="1E1E1E"/>
                <w:sz w:val="18"/>
              </w:rPr>
              <w:t>18,188,406 股</w:t>
            </w:r>
          </w:p>
        </w:tc>
        <w:tc>
          <w:tcPr>
            <w:tcW w:type="dxa" w:w="2160"/>
            <w:shd w:fill="F8FAFC"/>
            <w:tcMar>
              <w:top w:w="100" w:type="dxa"/>
              <w:bottom w:w="100" w:type="dxa"/>
              <w:left w:w="120" w:type="dxa"/>
              <w:right w:w="120" w:type="dxa"/>
            </w:tcMar>
          </w:tcPr>
          <w:p>
            <w:pPr>
              <w:jc w:val="left"/>
            </w:pPr>
            <w:r>
              <w:rPr>
                <w:rFonts w:ascii="微軟正黑體" w:hAnsi="微軟正黑體"/>
                <w:color w:val="1E1E1E"/>
                <w:sz w:val="18"/>
              </w:rPr>
              <w:t>15,000,000 股</w:t>
            </w:r>
          </w:p>
        </w:tc>
        <w:tc>
          <w:tcPr>
            <w:tcW w:type="dxa" w:w="2736"/>
            <w:shd w:fill="F8FAFC"/>
            <w:tcMar>
              <w:top w:w="100" w:type="dxa"/>
              <w:bottom w:w="100" w:type="dxa"/>
              <w:left w:w="120" w:type="dxa"/>
              <w:right w:w="120" w:type="dxa"/>
            </w:tcMar>
          </w:tcPr>
          <w:p>
            <w:pPr>
              <w:jc w:val="center"/>
            </w:pPr>
            <w:r>
              <w:rPr>
                <w:rFonts w:ascii="微軟正黑體" w:hAnsi="微軟正黑體"/>
                <w:color w:val="1E1E1E"/>
                <w:sz w:val="18"/>
              </w:rPr>
              <w:t>無任何股權稀釋</w:t>
            </w:r>
          </w:p>
        </w:tc>
      </w:tr>
      <w:tr>
        <w:tc>
          <w:tcPr>
            <w:tcW w:type="dxa" w:w="2736"/>
            <w:shd w:fill="FFFFFF"/>
            <w:tcMar>
              <w:top w:w="100" w:type="dxa"/>
              <w:bottom w:w="100" w:type="dxa"/>
              <w:left w:w="120" w:type="dxa"/>
              <w:right w:w="120" w:type="dxa"/>
            </w:tcMar>
          </w:tcPr>
          <w:p>
            <w:pPr>
              <w:jc w:val="center"/>
            </w:pPr>
            <w:r>
              <w:rPr>
                <w:rFonts w:ascii="微軟正黑體" w:hAnsi="微軟正黑體"/>
                <w:color w:val="1E1E1E"/>
                <w:sz w:val="18"/>
              </w:rPr>
              <w:t>每股股票價格</w:t>
            </w:r>
          </w:p>
        </w:tc>
        <w:tc>
          <w:tcPr>
            <w:tcW w:type="dxa" w:w="2016"/>
            <w:shd w:fill="FFFFFF"/>
            <w:tcMar>
              <w:top w:w="100" w:type="dxa"/>
              <w:bottom w:w="100" w:type="dxa"/>
              <w:left w:w="120" w:type="dxa"/>
              <w:right w:w="120" w:type="dxa"/>
            </w:tcMar>
          </w:tcPr>
          <w:p>
            <w:pPr>
              <w:jc w:val="right"/>
            </w:pPr>
            <w:r>
              <w:rPr>
                <w:rFonts w:ascii="微軟正黑體" w:hAnsi="微軟正黑體"/>
                <w:color w:val="1E1E1E"/>
                <w:sz w:val="18"/>
              </w:rPr>
              <w:t>$34.50 美元</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$37.43 美元</w:t>
            </w:r>
          </w:p>
        </w:tc>
        <w:tc>
          <w:tcPr>
            <w:tcW w:type="dxa" w:w="2736"/>
            <w:shd w:fill="FFFFFF"/>
            <w:tcMar>
              <w:top w:w="100" w:type="dxa"/>
              <w:bottom w:w="100" w:type="dxa"/>
              <w:left w:w="120" w:type="dxa"/>
              <w:right w:w="120" w:type="dxa"/>
            </w:tcMar>
          </w:tcPr>
          <w:p>
            <w:pPr>
              <w:jc w:val="right"/>
            </w:pPr>
            <w:r>
              <w:rPr>
                <w:rFonts w:ascii="微軟正黑體" w:hAnsi="微軟正黑體"/>
                <w:color w:val="1E1E1E"/>
                <w:sz w:val="18"/>
              </w:rPr>
              <w:t>+$2.93 美元 / 股 (+8.50%)</w:t>
            </w:r>
          </w:p>
        </w:tc>
      </w:tr>
      <w:tr>
        <w:tc>
          <w:tcPr>
            <w:tcW w:type="dxa" w:w="2736"/>
            <w:shd w:fill="F8FAFC"/>
            <w:tcMar>
              <w:top w:w="100" w:type="dxa"/>
              <w:bottom w:w="100" w:type="dxa"/>
              <w:left w:w="120" w:type="dxa"/>
              <w:right w:w="120" w:type="dxa"/>
            </w:tcMar>
          </w:tcPr>
          <w:p>
            <w:pPr>
              <w:jc w:val="left"/>
            </w:pPr>
            <w:r>
              <w:rPr>
                <w:rFonts w:ascii="微軟正黑體" w:hAnsi="微軟正黑體"/>
                <w:color w:val="1E1E1E"/>
                <w:sz w:val="18"/>
              </w:rPr>
              <w:t>既有 15M 舊股東總財富</w:t>
            </w:r>
          </w:p>
        </w:tc>
        <w:tc>
          <w:tcPr>
            <w:tcW w:type="dxa" w:w="2016"/>
            <w:shd w:fill="F8FAFC"/>
            <w:tcMar>
              <w:top w:w="100" w:type="dxa"/>
              <w:bottom w:w="100" w:type="dxa"/>
              <w:left w:w="120" w:type="dxa"/>
              <w:right w:w="120" w:type="dxa"/>
            </w:tcMar>
          </w:tcPr>
          <w:p>
            <w:pPr>
              <w:jc w:val="right"/>
            </w:pPr>
            <w:r>
              <w:rPr>
                <w:rFonts w:ascii="微軟正黑體" w:hAnsi="微軟正黑體"/>
                <w:color w:val="1E1E1E"/>
                <w:sz w:val="18"/>
              </w:rPr>
              <w:t>$517,500,000</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$561,500,000</w:t>
            </w:r>
          </w:p>
        </w:tc>
        <w:tc>
          <w:tcPr>
            <w:tcW w:type="dxa" w:w="2736"/>
            <w:shd w:fill="F8FAFC"/>
            <w:tcMar>
              <w:top w:w="100" w:type="dxa"/>
              <w:bottom w:w="100" w:type="dxa"/>
              <w:left w:w="120" w:type="dxa"/>
              <w:right w:w="120" w:type="dxa"/>
            </w:tcMar>
          </w:tcPr>
          <w:p>
            <w:pPr>
              <w:jc w:val="left"/>
            </w:pPr>
            <w:r>
              <w:rPr>
                <w:rFonts w:ascii="微軟正黑體" w:hAnsi="微軟正黑體"/>
                <w:color w:val="1E1E1E"/>
                <w:sz w:val="18"/>
              </w:rPr>
              <w:t>實質暴增 4,400 萬美元純財富！</w:t>
            </w:r>
          </w:p>
        </w:tc>
      </w:tr>
      <w:tr>
        <w:tc>
          <w:tcPr>
            <w:tcW w:type="dxa" w:w="2736"/>
            <w:shd w:fill="FFFFFF"/>
            <w:tcMar>
              <w:top w:w="100" w:type="dxa"/>
              <w:bottom w:w="100" w:type="dxa"/>
              <w:left w:w="120" w:type="dxa"/>
              <w:right w:w="120" w:type="dxa"/>
            </w:tcMar>
          </w:tcPr>
          <w:p>
            <w:pPr>
              <w:jc w:val="left"/>
            </w:pPr>
            <w:r>
              <w:rPr>
                <w:rFonts w:ascii="微軟正黑體" w:hAnsi="微軟正黑體"/>
                <w:color w:val="1E1E1E"/>
                <w:sz w:val="18"/>
              </w:rPr>
              <w:t>財務槓桿負債比率 (D/V)</w:t>
            </w:r>
          </w:p>
        </w:tc>
        <w:tc>
          <w:tcPr>
            <w:tcW w:type="dxa" w:w="2016"/>
            <w:shd w:fill="FFFFFF"/>
            <w:tcMar>
              <w:top w:w="100" w:type="dxa"/>
              <w:bottom w:w="100" w:type="dxa"/>
              <w:left w:w="120" w:type="dxa"/>
              <w:right w:w="120" w:type="dxa"/>
            </w:tcMar>
          </w:tcPr>
          <w:p>
            <w:pPr>
              <w:jc w:val="right"/>
            </w:pPr>
            <w:r>
              <w:rPr>
                <w:rFonts w:ascii="微軟正黑體" w:hAnsi="微軟正黑體"/>
                <w:color w:val="1E1E1E"/>
                <w:sz w:val="18"/>
              </w:rPr>
              <w:t>0.0%</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16.38% ($110M / $671.5M)</w:t>
            </w:r>
          </w:p>
        </w:tc>
        <w:tc>
          <w:tcPr>
            <w:tcW w:type="dxa" w:w="2736"/>
            <w:shd w:fill="FFFFFF"/>
            <w:tcMar>
              <w:top w:w="100" w:type="dxa"/>
              <w:bottom w:w="100" w:type="dxa"/>
              <w:left w:w="120" w:type="dxa"/>
              <w:right w:w="120" w:type="dxa"/>
            </w:tcMar>
          </w:tcPr>
          <w:p>
            <w:pPr>
              <w:jc w:val="left"/>
            </w:pPr>
            <w:r>
              <w:rPr>
                <w:rFonts w:ascii="微軟正黑體" w:hAnsi="微軟正黑體"/>
                <w:color w:val="1E1E1E"/>
                <w:sz w:val="18"/>
              </w:rPr>
              <w:t>依然處於非常健康的低負債水準</w:t>
            </w:r>
          </w:p>
        </w:tc>
      </w:tr>
    </w:tbl>
    <w:p>
      <w:pPr>
        <w:spacing w:before="0" w:after="120" w:line="276" w:lineRule="auto"/>
      </w:pPr>
      <w:r>
        <w:rPr>
          <w:rFonts w:ascii="微軟正黑體" w:hAnsi="微軟正黑體"/>
          <w:b w:val="0"/>
          <w:i w:val="0"/>
          <w:color w:val="222222"/>
          <w:sz w:val="20"/>
        </w:rPr>
        <w:t>2. MM 第二定理之理論解析（資本成本如何變動？）：</w:t>
        <w:br/>
        <w:t>根據 MM 第二定理（有稅）：$R_e = R_U + (R_U - R_d) \times (1 - T_c) \times (D/E)$。</w:t>
        <w:br/>
        <w:t>當公司引入 1.1 億美元負債後，股東面臨額外的財務風險，因此股權要求報酬率（$R_e$）必然上升。</w:t>
        <w:br/>
        <w:t>然而，為什麼每股股價反而上漲？</w:t>
        <w:br/>
        <w:t>因為負債的稅後成本 $R_d(1 - T_c)$ 遠低於股權成本，低成本負債的權重增加效果【遠大於】股權成本上升的效果，使得整體公司的加權平均資金成本（WACC）實質下降！折現率下降，公司市場總價值與股價自然攀升。</w:t>
      </w:r>
    </w:p>
    <w:p>
      <w:pPr>
        <w:spacing w:before="0" w:after="120" w:line="276" w:lineRule="auto"/>
      </w:pPr>
      <w:r>
        <w:rPr>
          <w:rFonts w:ascii="微軟正黑體" w:hAnsi="微軟正黑體"/>
          <w:b w:val="0"/>
          <w:i w:val="0"/>
          <w:color w:val="222222"/>
          <w:sz w:val="20"/>
        </w:rPr>
        <w:t>3. 代理衝突與公司治理啟示：</w:t>
        <w:br/>
        <w:t>• 【個人創傷偏誤損害股東利益】：執行長羅伯特·史蒂芬森因為早年的破產陰影，產生了非理性的風險厭惡。他寧可犧牲股東整整 4,400 萬美元的實質財富，也要維持『零負債』的個人心理安全感。這是典型的高階經理人個人偏好凌駕於股東利益之上的『代理問題』（Agency Problem）。</w:t>
        <w:br/>
        <w:t>• 【董事會的治理防線】：身為上市公司或公眾公司的董事會，其信託責任（Fiduciary Duty）是維護全體股東財富最大化。在此案中，公司的負債比率僅從 0% 升至 16.38%，在租金穩定的商業房地產行業中屬於極度保守安全的健康水準，根本不可能引發財務困境或破產風險。</w:t>
        <w:br/>
        <w:t>• 董事會應堅決否決方案 A，通過方案 B 發債融資，並透過適當的股權激勵機制，引導執行長克服心理恐懼，實現企業價值的躍升！</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財務管理課程教學教材 | 嚴謹推導．完整個案．教學解答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企業財務學精選個案教學指引與詳解 | 財務個案3：Stephenson Real Estate 的資本結構重組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軟正黑體" w:hAnsi="微軟正黑體"/>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軟正黑體" w:hAnsi="微軟正黑體"/>
      <w:color w:val="8C8C8C"/>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