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微軟正黑體" w:hAnsi="微軟正黑體"/>
          <w:b/>
          <w:color w:val="1B365D"/>
          <w:sz w:val="22"/>
        </w:rPr>
        <w:t>【個案與教學指引．詳解】</w:t>
      </w:r>
    </w:p>
    <w:p>
      <w:pPr>
        <w:spacing w:before="40" w:after="80"/>
        <w:jc w:val="left"/>
      </w:pPr>
      <w:r>
        <w:rPr>
          <w:rFonts w:ascii="微軟正黑體" w:hAnsi="微軟正黑體"/>
          <w:b/>
          <w:color w:val="0F4C81"/>
          <w:sz w:val="40"/>
        </w:rPr>
        <w:t>財務個案 4：Piepkorn Manufacturing 的營運資金管理與短期財務規劃</w:t>
      </w:r>
    </w:p>
    <w:p>
      <w:pPr>
        <w:spacing w:before="40" w:after="320"/>
        <w:jc w:val="left"/>
      </w:pPr>
      <w:r>
        <w:rPr>
          <w:rFonts w:ascii="微軟正黑體" w:hAnsi="微軟正黑體"/>
          <w:color w:val="5A6B7C"/>
          <w:sz w:val="23"/>
        </w:rPr>
        <w:t>Piepkorn Manufacturing: Working Capital Management | 現金預算表 (Cash Budgeting)、短期融資調度、現金轉換週期與安全現金庫存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B365D"/>
          </w:tcPr>
          <w:p>
            <w:pPr>
              <w:spacing w:before="20" w:after="20"/>
            </w:pPr>
            <w:r>
              <w:rPr>
                <w:sz w:val="4"/>
              </w:rPr>
            </w:r>
          </w:p>
        </w:tc>
      </w:tr>
    </w:tbl>
    <w:p>
      <w:pPr>
        <w:keepNext/>
        <w:spacing w:before="360" w:after="160"/>
      </w:pPr>
      <w:r>
        <w:rPr>
          <w:rFonts w:ascii="微軟正黑體" w:hAnsi="微軟正黑體"/>
          <w:b/>
          <w:color w:val="1B365D"/>
          <w:sz w:val="28"/>
        </w:rPr>
        <w:t>第一部分：個案完整背景與情境描述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Piepkorn Manufacturing 是一家位於美國中西部的中小型製造企業，專門生產各類規格的瓦楞紙箱、環保包裝盒以及特種工業包裝材料，由創辦人蓋瑞·皮普康（Gary Piepkorn）一手創立與掌舵。公司歷史悠久，憑藉優質的紙質與準時交貨的信譽，長期為當地的農產品加工廠、中小型製造商與電商零售商提供紙箱耗材。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然而，皮普康先生是典型的『重生產、輕財務』實業家。在過去十多年中，公司的財務日常管理極其原始且鬆散——在總經理辦公室的辦公桌下，赫然放著兩個大鞋盒（Shoeboxes）：</w:t>
        <w:br/>
        <w:t>• 第一個鞋盒貼著『應收單據』，放滿了開給客戶的未收發票存根；每當客戶寄來支票，皮普康先生才把單據拿出來打勾銷帳；</w:t>
        <w:br/>
        <w:t>• 第二個鞋盒貼著『待付帳單』，塞滿了原料供應商寄來的請款單；每當供應商打電話催款或帳款即將過期，他才簽發支票寄出。</w:t>
        <w:br/>
        <w:t>在公司規模尚小時，這種依賴直覺與鞋盒的『家庭式現金管理』勉強能夠運作。但隨著近年來公司年營業額突破 300 萬美元大關，原始的管理模式開始暴露出致命的流動性危機：公司經常在某些月份出現銀行帳戶資金見底、連員工工資都差點發不出來的窘境，而在另一些月份又把大量閒置現金放在零利息的支票帳戶中睡大覺。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更關鍵的是，公司在即將到來的第四季面臨一項攸關生死存亡的重大資本支出：</w:t>
        <w:br/>
        <w:t>為了應對市場上全自動折疊包裝的競爭，公司必須在第四季自德國引進一台新型高精度自動化紙箱折疊設備，所需現金支出高達【200,000 美元】！若無法在第四季如期支付這筆款項，公司將面臨供應合約違約與生產線停擺的巨大風險。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面對即將到來的資金壓力，皮普康先生終於意識到專業財務規劃的不可或缺。你被聘請加入公司新成立的財務部，擔任專案財務經理。皮普康先生指著桌下的鞋盒對你說：『我需要你幫我建立一套科學現代化的短期財務規劃系統，預測未來四個季度的現金流入與流出，告訴我每一季我們的錢到底夠不夠用？如果不夠，何時需要向銀行借款？若有多餘資金，又該如何管理？』</w:t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1B365D"/>
          <w:sz w:val="28"/>
        </w:rPr>
        <w:t>第二部分：核心財務數據與參數彙整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為了編制年度現金預算表（Cash Budget），你深入調閱了業務部門的接單預測、採購合約、生產排程與銀行往來條款，整理出以下關鍵數據：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季度 (Quarter)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銷售額預測 (Sales)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原物料採購預估 (Purchases)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備註說明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前一年度 Q4 (歷史值)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$800,000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$431,750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採購為本年 Q1 預估銷售之 50%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1E1E"/>
                <w:sz w:val="18"/>
              </w:rPr>
              <w:t>第一季 (Q1)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$863,500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$459,250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採購為 Q2 預估銷售之 50%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1E1E"/>
                <w:sz w:val="18"/>
              </w:rPr>
              <w:t>第二季 (Q2)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$918,500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$498,000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採購為 Q3 預估銷售之 50%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1E1E"/>
                <w:sz w:val="18"/>
              </w:rPr>
              <w:t>第三季 (Q3)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$996,000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$462,000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採購為 Q4 預估銷售之 50%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1E1E"/>
                <w:sz w:val="18"/>
              </w:rPr>
              <w:t>第四季 (Q4)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$924,000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$440,000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採購為次年 Q1 預估銷售之 50%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次年第一季 (Q1 Next)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$880,000 (預測)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1E1E"/>
                <w:sz w:val="18"/>
              </w:rPr>
              <w:t>-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用於推算本年 Q4 之原物料採購額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60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營運資金與現金流政策項目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基準數值 / 規律</w:t>
            </w:r>
          </w:p>
        </w:tc>
        <w:tc>
          <w:tcPr>
            <w:tcW w:type="dxa" w:w="374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財務運作機制說明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應收帳款收款規律 (A/R Collection)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當季收現 50%，次季收現 50%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平均收款天數 (DSO) 約為 45 天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原料採購付款規律 (A/P Payment)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當季付現 40%，次季付現 60%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供應商平均賒銷天數約為 53 天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工資與營業費用支出 (Wages &amp; Expenses)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當季銷售額的 20.0%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隨銷量變動，當季全數以現金支付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長期借款利息支出 (Interest on Debt)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每季固定 $10,500 美元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各季末以現金支付固定長期利息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重大資本支出 (Capital Expenditure)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第四季 (Q4) 支付 $200,000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購買德國新型自動化紙箱折疊設備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期初現金餘額 (Beginning Cash Balance)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Q1 期初為 $120,000 美元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公司年初支票存款帳戶起始餘額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目標最低安全現金餘額 (Target Cash Balance)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 美元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管理層維持正常營運之流動性安全底線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短期銀行借款條件 (Short-term Borrowing)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每季借款利率 1.50% (年化 6.0%)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現金不足 $100,000 時隨時向當地銀行借貸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貨幣市場短期投資回報 (Short-term Investment)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每季投資報酬率 1.00% (年化 4.0%)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多餘現金投資於短期流動性商品</w:t>
            </w:r>
          </w:p>
        </w:tc>
      </w:tr>
    </w:tbl>
    <w:p>
      <w:pPr>
        <w:keepNext/>
        <w:spacing w:before="360" w:after="160"/>
      </w:pPr>
      <w:r>
        <w:rPr>
          <w:rFonts w:ascii="微軟正黑體" w:hAnsi="微軟正黑體"/>
          <w:b/>
          <w:color w:val="1B365D"/>
          <w:sz w:val="28"/>
        </w:rPr>
        <w:t>第三部分：個案核心作業問題清單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問題一（現金預算表編制）：</w:t>
      </w:r>
      <w:r>
        <w:rPr>
          <w:rFonts w:ascii="微軟正黑體" w:hAnsi="微軟正黑體"/>
          <w:color w:val="282828"/>
          <w:sz w:val="20"/>
        </w:rPr>
        <w:t>請為 Piepkorn Manufacturing 編制未來四個季度（Q1 至 Q4）的【現金預算表】（Cash Budget），詳細計算各季度的現金流入總額（Cash Collections）、現金流出總額（Cash Disbursements）以及各季度的淨現金流量（Net Cash Inflow/Outflow）。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問題二（短期融資與投資調度規劃）：</w:t>
      </w:r>
      <w:r>
        <w:rPr>
          <w:rFonts w:ascii="微軟正黑體" w:hAnsi="微軟正黑體"/>
          <w:color w:val="282828"/>
          <w:sz w:val="20"/>
        </w:rPr>
        <w:t>結合公司 $100,000 美元的目標最低現金餘額政策與期初 $120,000 現金，編制完整的【短期財務調度計劃表】：</w:t>
        <w:br/>
        <w:t>1. 計算各季在未融資前的期末現金餘額，判定該季出現『現金多餘（Surplus）』還是『資金赤字（Deficit）』。</w:t>
        <w:br/>
        <w:t>2. 確定各季度需新增借款、償還借款或進行短期投資的具體金額。</w:t>
        <w:br/>
        <w:t>3. 計算各季度的淨利息收支，並求出各季度最終的期末現金餘額與累計借款/投資餘額。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問題三（敏感度分析——目標現金餘額調整）：</w:t>
      </w:r>
      <w:r>
        <w:rPr>
          <w:rFonts w:ascii="微軟正黑體" w:hAnsi="微軟正黑體"/>
          <w:color w:val="282828"/>
          <w:sz w:val="20"/>
        </w:rPr>
        <w:t>假設財務部門建議將目標最低現金餘額從 $100,000 美元調降至 $80,000 美元：</w:t>
        <w:br/>
        <w:t>1. 這項政策調整對公司全年度的高峰借款規模（Peak Borrowing）與累計借款利息支出有何量化影響？</w:t>
        <w:br/>
        <w:t>2. 調降目標現金餘額為公司帶來了什麼好處？同時又增加了哪些營運與流動性風險？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問題四（商業信用政策與營運資金優化綜合建議）：</w:t>
      </w:r>
      <w:r>
        <w:rPr>
          <w:rFonts w:ascii="微軟正黑體" w:hAnsi="微軟正黑體"/>
          <w:color w:val="282828"/>
          <w:sz w:val="20"/>
        </w:rPr>
        <w:t>面對市場競爭加劇，部分大客戶要求延長賒銷期限（如從 45 天延至 60 天），否則威脅轉單；同時原料供應商亦在催促及早結清貨款。請從【現金轉換週期（Cash Conversion Cycle, CCC）】的角度，為 Gary Piepkorn 提供一套優化應收、應付與存貨管理的具體策略建議。</w:t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1B365D"/>
          <w:sz w:val="28"/>
        </w:rPr>
        <w:t>第四部分：教師教學指引（Instructor's Teaching Guide）</w:t>
      </w:r>
    </w:p>
    <w:p>
      <w:pPr>
        <w:keepNext/>
        <w:spacing w:before="240" w:after="120"/>
      </w:pPr>
      <w:r>
        <w:rPr>
          <w:rFonts w:ascii="微軟正黑體" w:hAnsi="微軟正黑體"/>
          <w:b/>
          <w:color w:val="2C5E8A"/>
          <w:sz w:val="24"/>
        </w:rPr>
        <w:t>4.1 教學目標與先備知識要求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教學目標 1：精通滾動式季度現金預算表（Cash Budget）的編制：</w:t>
      </w:r>
      <w:r>
        <w:rPr>
          <w:rFonts w:ascii="微軟正黑體" w:hAnsi="微軟正黑體"/>
          <w:color w:val="282828"/>
          <w:sz w:val="20"/>
        </w:rPr>
        <w:t>使學生能熟練處理『銷售額 $\to$ 應收帳款遞延收款』與『採購額 $\to$ 應付帳款遞延付款』的時間差（Timing Differences）。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教學目標 2：深刻理解『會計獲利性（Profitability）不等於流動清償力（Liquidity）』：</w:t>
      </w:r>
      <w:r>
        <w:rPr>
          <w:rFonts w:ascii="微軟正黑體" w:hAnsi="微軟正黑體"/>
          <w:color w:val="282828"/>
          <w:sz w:val="20"/>
        </w:rPr>
        <w:t>讓學生親眼見證一家全年營收成長、帳面高度賺錢的企業，如何在第四季因為一筆設備資本支出而爆發嚴重的現金流斷裂危機（黑字倒閉風險）。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教學目標 3：掌握營運資金短期頭寸調度決策：</w:t>
      </w:r>
      <w:r>
        <w:rPr>
          <w:rFonts w:ascii="微軟正黑體" w:hAnsi="微軟正黑體"/>
          <w:color w:val="282828"/>
          <w:sz w:val="20"/>
        </w:rPr>
        <w:t>學會如何動態平衡安全現金存量、銀行短期借款信用額度與貨幣市場投資收益。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先備知識：</w:t>
      </w:r>
      <w:r>
        <w:rPr>
          <w:rFonts w:ascii="微軟正黑體" w:hAnsi="微軟正黑體"/>
          <w:color w:val="282828"/>
          <w:sz w:val="20"/>
        </w:rPr>
        <w:t>資產負債表流動資產與流動負債、應收帳款週轉率、現金流量表基本架構、利息計算。</w:t>
      </w:r>
    </w:p>
    <w:p>
      <w:pPr>
        <w:keepNext/>
        <w:spacing w:before="240" w:after="120"/>
      </w:pPr>
      <w:r>
        <w:rPr>
          <w:rFonts w:ascii="微軟正黑體" w:hAnsi="微軟正黑體"/>
          <w:b/>
          <w:color w:val="2C5E8A"/>
          <w:sz w:val="24"/>
        </w:rPr>
        <w:t>4.2 核心財務理論架構深度剖析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</w:tcPr>
          <w:p>
            <w:pPr>
              <w:spacing w:before="0" w:after="80"/>
            </w:pPr>
            <w:r>
              <w:rPr>
                <w:rFonts w:ascii="微軟正黑體" w:hAnsi="微軟正黑體"/>
                <w:b/>
                <w:color w:val="1B365D"/>
                <w:sz w:val="21"/>
              </w:rPr>
              <w:t>📌 核心模型剖析：現金轉換週期（Cash Conversion Cycle, CCC）與流動性錯配</w:t>
            </w:r>
          </w:p>
          <w:p>
            <w:pPr>
              <w:spacing w:before="20" w:after="60" w:line="276" w:lineRule="auto"/>
            </w:pPr>
            <w:r>
              <w:rPr>
                <w:rFonts w:ascii="微軟正黑體" w:hAnsi="微軟正黑體"/>
                <w:color w:val="2D3748"/>
                <w:sz w:val="19"/>
              </w:rPr>
              <w:t>營運資金管理的核心靈魂在於掌控資金被卡在營運循環中的時間：</w:t>
            </w:r>
          </w:p>
          <w:p>
            <w:pPr>
              <w:spacing w:before="20" w:after="60" w:line="276" w:lineRule="auto"/>
            </w:pPr>
            <w:r>
              <w:rPr>
                <w:rFonts w:ascii="微軟正黑體" w:hAnsi="微軟正黑體"/>
                <w:color w:val="2D3748"/>
                <w:sz w:val="19"/>
              </w:rPr>
              <w:t>$$\text{現金轉換週期 (CCC)} = \text{存貨週轉天數 (DIO)} + \text{應收帳款收款天數 (DSO)} - \text{應付帳款付款天數 (DPO)}$$</w:t>
            </w:r>
          </w:p>
          <w:p>
            <w:pPr>
              <w:spacing w:before="20" w:after="60" w:line="276" w:lineRule="auto"/>
            </w:pPr>
            <w:r>
              <w:rPr>
                <w:rFonts w:ascii="微軟正黑體" w:hAnsi="微軟正黑體"/>
                <w:color w:val="2D3748"/>
                <w:sz w:val="19"/>
              </w:rPr>
              <w:t>• 在 Piepkorn 的案例中，原物料採購是依據【下一季預測銷售】進行，這意味著存貨需求走在銷售前面！</w:t>
            </w:r>
          </w:p>
          <w:p>
            <w:pPr>
              <w:spacing w:before="20" w:after="60" w:line="276" w:lineRule="auto"/>
            </w:pPr>
            <w:r>
              <w:rPr>
                <w:rFonts w:ascii="微軟正黑體" w:hAnsi="微軟正黑體"/>
                <w:color w:val="2D3748"/>
                <w:sz w:val="19"/>
              </w:rPr>
              <w:t>• 客戶付款需 45 天（當季僅收現 50%），而供應商付款需 53 天（當季付現 40%）。當銷量持續上升時，應收帳款與存貨的資金佔用會像海綿一樣吸乾公司的現金。</w:t>
            </w:r>
          </w:p>
          <w:p>
            <w:pPr>
              <w:spacing w:before="20" w:after="60" w:line="276" w:lineRule="auto"/>
            </w:pPr>
            <w:r>
              <w:rPr>
                <w:rFonts w:ascii="微軟正黑體" w:hAnsi="微軟正黑體"/>
                <w:color w:val="2D3748"/>
                <w:sz w:val="19"/>
              </w:rPr>
              <w:t>• 第四季的 20 萬美元設備採購屬於【大額階梯式現金流出】（Lumpy Cash Outflow）。如果沒有事先透過現金預算向銀行申請備用借款額度，公司將在第四季瞬間因開不出支票而陷入技術性違約！</w:t>
            </w:r>
          </w:p>
        </w:tc>
      </w:tr>
    </w:tbl>
    <w:p>
      <w:pPr>
        <w:keepNext/>
        <w:spacing w:before="240" w:after="120"/>
      </w:pPr>
      <w:r>
        <w:rPr>
          <w:rFonts w:ascii="微軟正黑體" w:hAnsi="微軟正黑體"/>
          <w:b/>
          <w:color w:val="2C5E8A"/>
          <w:sz w:val="24"/>
        </w:rPr>
        <w:t>4.3 學生常見學習盲點與引導策略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盲點一：混淆採購基準與當季銷量</w:t>
      </w:r>
      <w:r>
        <w:rPr>
          <w:rFonts w:ascii="微軟正黑體" w:hAnsi="微軟正黑體"/>
          <w:color w:val="282828"/>
          <w:sz w:val="20"/>
        </w:rPr>
        <w:t>引導技巧：特別提醒學生，Q1 的採購額不是 Q1 銷售的 50%，而是【Q2 預期銷售】的 50%！因為製造業必須提前進料排產。採購額的時點判定錯誤，後續付現表將全數失真。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盲點二：遺漏前一年度 Q4 留下來的收付款尾款</w:t>
      </w:r>
      <w:r>
        <w:rPr>
          <w:rFonts w:ascii="微軟正黑體" w:hAnsi="微軟正黑體"/>
          <w:color w:val="282828"/>
          <w:sz w:val="20"/>
        </w:rPr>
        <w:t>引導技巧：提醒學生，資產負債表是連續的。本年 Q1 的收現中，有 50% 來自前一年 Q4 的銷量（$800,000 × 50% = $400,000）；本年 Q1 的原物料付款中，有 60% 來自前一年 Q4 的採購尾款。</w:t>
      </w:r>
    </w:p>
    <w:p>
      <w:pPr>
        <w:keepNext/>
        <w:spacing w:before="360" w:after="160"/>
      </w:pPr>
      <w:r>
        <w:rPr>
          <w:rFonts w:ascii="微軟正黑體" w:hAnsi="微軟正黑體"/>
          <w:b/>
          <w:color w:val="1B365D"/>
          <w:sz w:val="28"/>
        </w:rPr>
        <w:t>第五部分：教學解答與詳細數學推導</w:t>
      </w:r>
    </w:p>
    <w:p>
      <w:pPr>
        <w:keepNext/>
        <w:spacing w:before="240" w:after="120"/>
      </w:pPr>
      <w:r>
        <w:rPr>
          <w:rFonts w:ascii="微軟正黑體" w:hAnsi="微軟正黑體"/>
          <w:b/>
          <w:color w:val="2C5E8A"/>
          <w:sz w:val="24"/>
        </w:rPr>
        <w:t>問題一解答：未來四個季度現金預算表編制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1. 各季度現金流入（Collections）詳細推導：</w:t>
        <w:br/>
        <w:t>• Q1 收現 $= (\text{前年 Q4 銷售 } \$800,000 \times 50\%) + (\text{Q1 銷售 } \$863,500 \times 50\%) = \$400,000 + \$431,750 = \$831,750$</w:t>
        <w:br/>
        <w:t>• Q2 收現 $= (\text{Q1 銷售 } \$863,500 \times 50\%) + (\text{Q2 銷售 } \$918,500 \times 50\%) = \$431,750 + \$459,250 = \$891,000$</w:t>
        <w:br/>
        <w:t>• Q3 收現 $= (\text{Q2 銷售 } \$918,500 \times 50\%) + (\text{Q3 銷售 } \$996,000 \times 50\%) = \$459,250 + \$498,000 = \$957,250$</w:t>
        <w:br/>
        <w:t>• Q4 收現 $= (\text{Q3 銷售 } \$996,000 \times 50\%) + (\text{Q4 銷售 } \$924,000 \times 50\%) = \$498,000 + \$462,000 = \$960,000$</w:t>
        <w:br/>
        <w:br/>
        <w:t>2. 各季度原物料採購付現（Disbursements for Purchases）詳細推導：</w:t>
        <w:br/>
        <w:t>• 前年 Q4 採購 $= \$431,750$（其 60% 於本年 Q1 支付 $= \$259,050$）</w:t>
        <w:br/>
        <w:t>• Q1 採購 $= \$459,250$（Q1 支付 40% $= \$183,700$；Q2 支付 60% $= \$275,550$）</w:t>
        <w:br/>
        <w:t xml:space="preserve">  $\Rightarrow$ Q1 採購總付現 $= \$259,050 + \$183,700 = \$442,750$</w:t>
        <w:br/>
        <w:t>• Q2 採購 $= \$498,000$（Q2 支付 40% $= \$199,200$；Q3 支付 60% $= \$298,800$）</w:t>
        <w:br/>
        <w:t xml:space="preserve">  $\Rightarrow$ Q2 採購總付現 $= \$275,550 + \$199,200 = \$474,750$</w:t>
        <w:br/>
        <w:t>• Q3 採購 $= \$462,000$（Q3 支付 40% $= \$184,800$；Q4 支付 60% $= \$277,200$）</w:t>
        <w:br/>
        <w:t xml:space="preserve">  $\Rightarrow$ Q3 採購總付現 $= \$298,800 + \$184,800 = \$483,600$</w:t>
        <w:br/>
        <w:t>• Q4 採購 $= \$440,000$（Q4 支付 40% $= \$176,000$；次年 Q1 支付 60%）</w:t>
        <w:br/>
        <w:t xml:space="preserve">  $\Rightarrow$ Q4 採購總付現 $= \$277,200 + \$176,000 = \$453,200$</w:t>
        <w:br/>
        <w:br/>
        <w:t>3. 其他各項現金支出：</w:t>
        <w:br/>
        <w:t>• 工資與營業費用（銷量之 20%）：</w:t>
        <w:br/>
        <w:t xml:space="preserve">  Q1: $\$863,500 \times 20\% = \$172,700$；Q2: $\$918,500 \times 20\% = \$183,700$；</w:t>
        <w:br/>
        <w:t xml:space="preserve">  Q3: $\$996,000 \times 20\% = \$199,200$；Q4: $\$924,000 \times 20\% = \$184,800$</w:t>
        <w:br/>
        <w:t>• 固定借款利息：各季均為 $\$10,500$</w:t>
        <w:br/>
        <w:t>• 設備資本支出：Q1~Q3 為 $0；Q4 支出 $\$200,000$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302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現金預算項目 (Cash Budget)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第一季 (Q1)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第二季 (Q2)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第三季 (Q3)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第四季 (Q4)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全年度合計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【現金流入】客戶收款總額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$831,750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$891,000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$957,250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$960,000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$3,640,000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【現金流出】原物料採購付現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$442,750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$474,750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$483,600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$453,200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$1,854,300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【現金流出】工資與營運費用 (20%)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$172,700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$183,700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$199,200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$184,800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$740,400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【現金流出】長期借款固定利息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$10,500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$10,500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$10,500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$10,500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$42,000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【現金流出】折疊設備資本支出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$200,000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$200,000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現金流出總計 (Disbursements)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$625,950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$668,950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$693,300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$848,500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$2,836,700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【季度淨現金流】(Net Cash Inflow)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+$205,800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+$222,050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+$263,950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+$111,500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+$803,300</w:t>
            </w:r>
          </w:p>
        </w:tc>
      </w:tr>
    </w:tbl>
    <w:p>
      <w:pPr>
        <w:keepNext/>
        <w:spacing w:before="240" w:after="120"/>
      </w:pPr>
      <w:r>
        <w:rPr>
          <w:rFonts w:ascii="微軟正黑體" w:hAnsi="微軟正黑體"/>
          <w:b/>
          <w:color w:val="2C5E8A"/>
          <w:sz w:val="24"/>
        </w:rPr>
        <w:t>問題二解答：短期融資與投資調度計劃表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財務調度基準與邏輯：</w:t>
        <w:br/>
        <w:t>• Q1 期初現金為 $120,000 美元；目標最低現金安全儲備為 $100,000 美元。</w:t>
        <w:br/>
        <w:t>• 每季期末『未調度前現金餘額』$= \text{期初現金} + \text{當季淨現金流}$</w:t>
        <w:br/>
        <w:t>• 若未調度前現金 $&gt; \$100,000$，將超出部分轉入短期貨幣市場投資（賺取季息 1.0%）；</w:t>
        <w:br/>
        <w:t>• 若未調度前現金 $&lt; \$100,000$，向銀行申請短期借款補足至 $100,000$（支付季息 1.5%）。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短期財務調度分析項目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第一季 (Q1)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第二季 (Q2)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第三季 (Q3)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第四季 (Q4)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期初現金餘額 (Beginning Cash)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$120,000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當季本業營運淨現金流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+$205,800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+$222,050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+$263,950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+$111,500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前期短期投資之利息收入 (+1.0%)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+$2,258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+$4,501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+$7,186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前期短期借款之利息支出 (-1.5%)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color w:val="1E1E1E"/>
                <w:sz w:val="18"/>
              </w:rPr>
              <w:t>調度前現金總額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$325,800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$324,308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$368,451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$218,686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目標最低安全現金餘額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【當季多餘現金 / 缺口】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+$225,800 (多餘)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+$224,308 (多餘)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+$268,451 (多餘)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+$118,686 (多餘)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當季新增短期借款 (借款/還款)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$0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當季新增短期投資 (存入市場)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+$225,800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+$224,308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+$268,451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+$118,686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期末現金餘額 (Ending Cash)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$100,000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微軟正黑體" w:hAnsi="微軟正黑體"/>
                <w:color w:val="1E1E1E"/>
                <w:sz w:val="18"/>
              </w:rPr>
              <w:t>【期末累計短期投資總額】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$225,800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$450,108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$718,559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微軟正黑體" w:hAnsi="微軟正黑體"/>
                <w:color w:val="1E1E1E"/>
                <w:sz w:val="18"/>
              </w:rPr>
              <w:t>$837,245</w:t>
            </w:r>
          </w:p>
        </w:tc>
      </w:tr>
    </w:tbl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關鍵財務洞察：</w:t>
        <w:br/>
        <w:t>在標準營運情境下，得益於較高的本業毛利（70% 以上）與良好的收現排程，Piepkorn 公司在四個季度均產生強勁的本業淨現金流入（各季均超過 11 萬至 26 萬美元）。即使在第四季支付了高達 200,000 美元的設備採購款，當季淨現金流依然為正（+$111,500）。因此，公司在全年度完全不需要向銀行借入任何短期借款，反而在年底累積了高達【83.7 萬美元】的短期貨幣市場投資盈餘！</w:t>
      </w:r>
    </w:p>
    <w:p>
      <w:pPr>
        <w:keepNext/>
        <w:spacing w:before="240" w:after="120"/>
      </w:pPr>
      <w:r>
        <w:rPr>
          <w:rFonts w:ascii="微軟正黑體" w:hAnsi="微軟正黑體"/>
          <w:b/>
          <w:color w:val="2C5E8A"/>
          <w:sz w:val="24"/>
        </w:rPr>
        <w:t>問題三解答：敏感度分析（目標現金餘額由 10 萬調降至 8 萬）</w:t>
      </w:r>
    </w:p>
    <w:p>
      <w:pPr>
        <w:spacing w:before="0" w:after="120" w:line="276" w:lineRule="auto"/>
      </w:pPr>
      <w:r>
        <w:rPr>
          <w:rFonts w:ascii="微軟正黑體" w:hAnsi="微軟正黑體"/>
          <w:b w:val="0"/>
          <w:i w:val="0"/>
          <w:color w:val="222222"/>
          <w:sz w:val="20"/>
        </w:rPr>
        <w:t>若公司決定將目標最低現金餘額從 $100,000 美元調降至 $80,000 美元：</w:t>
        <w:br/>
        <w:br/>
        <w:t>1. 量化效益分析：</w:t>
        <w:br/>
        <w:t>• 釋放現金流：公司在 Q1 即可永久性額外釋放出 $20,000 美元的流動現金。</w:t>
        <w:br/>
        <w:t>• 投資收益增加：這筆額外釋放的 $20,000 美元全年度可投入短期貨幣市場，以季利率 1.0% 滾存複利，全年度可為公司額外創造約 $824 美元的純利息收入。</w:t>
        <w:br/>
        <w:br/>
        <w:t>2. 風險權衡分析（Trade-off Analysis）：</w:t>
        <w:br/>
        <w:t>• 優點：降低資金閒置成本，提升流動資產的回報效率。</w:t>
        <w:br/>
        <w:t>• 潛在風險：安全緩衝墊（Safety Buffer）被削弱了 20%。如果未來某個季度出現大客戶惡意倒閉、違約延遲付款，或是遭遇景氣逆風導致銷量驟降 15% 以上，僅有 8 萬美元的現金儲備可能無法吸收日常工資與固定利息的衝擊，大幅增加公司向銀行緊急融資的機率。考慮到公司目前本業現金極為充裕，保留 10 萬美元是更審慎健全的選擇。</w:t>
      </w:r>
    </w:p>
    <w:p>
      <w:pPr>
        <w:keepNext/>
        <w:spacing w:before="240" w:after="120"/>
      </w:pPr>
      <w:r>
        <w:rPr>
          <w:rFonts w:ascii="微軟正黑體" w:hAnsi="微軟正黑體"/>
          <w:b/>
          <w:color w:val="2C5E8A"/>
          <w:sz w:val="24"/>
        </w:rPr>
        <w:t>問題四解答：商業信用政策與營運資金優化綜合建議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1. 應對客戶要求延長信用期的談判策略：推行現金折扣（Cash Discounts）</w:t>
      </w:r>
      <w:r>
        <w:rPr>
          <w:rFonts w:ascii="微軟正黑體" w:hAnsi="微軟正黑體"/>
          <w:color w:val="282828"/>
          <w:sz w:val="20"/>
        </w:rPr>
        <w:t>堅決拒絕無條件將信用期延至 60 天！若直接延長信用期，客戶的應收帳款資金佔用將暴增 33%，極易引發連鎖呆帳。建議採取『2/10, net 30』或『1/15, net 45』信用條件：若客戶在 10 天內付現，給予 2% 折扣；否則必須在 30 天內全額付清。這能有效刺激客戶提前付款，大幅壓縮收款週期。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2. 供應商應付帳款管理（DPO 優化）：</w:t>
      </w:r>
      <w:r>
        <w:rPr>
          <w:rFonts w:ascii="微軟正黑體" w:hAnsi="微軟正黑體"/>
          <w:color w:val="282828"/>
          <w:sz w:val="20"/>
        </w:rPr>
        <w:t>繼續維持 53 天的健康付款週期。在不損害供應商商業關係與信用評等的前提下，充分利用供應商提供的信用額度，絕不提前付款，將付款浮差的價值最大化。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3. 資本支出結構優化：評估『設備租賃融資』（Equipment Leasing）</w:t>
      </w:r>
      <w:r>
        <w:rPr>
          <w:rFonts w:ascii="微軟正黑體" w:hAnsi="微軟正黑體"/>
          <w:color w:val="282828"/>
          <w:sz w:val="20"/>
        </w:rPr>
        <w:t>雖然第四季帳面現金足以全額支付 20 萬美元設備款，但一次性大額流出依然降低了突發防禦能力。財務部應向銀行洽談設備融資租賃，將 20 萬美元分散為 3~5 年的分期租金，使現金流出更加平滑，保留充足的流動資金以備不時之需。</w:t>
      </w:r>
    </w:p>
    <w:p>
      <w:pPr>
        <w:pStyle w:val="ListBullet"/>
        <w:spacing w:before="20" w:after="60" w:line="276" w:lineRule="auto"/>
      </w:pPr>
      <w:r>
        <w:rPr>
          <w:rFonts w:ascii="微軟正黑體" w:hAnsi="微軟正黑體"/>
          <w:b/>
          <w:color w:val="1B365D"/>
          <w:sz w:val="20"/>
        </w:rPr>
        <w:t>4. 告別鞋盒時代：全面導入 ERP 與電子應收帳款管理系統</w:t>
      </w:r>
      <w:r>
        <w:rPr>
          <w:rFonts w:ascii="微軟正黑體" w:hAnsi="微軟正黑體"/>
          <w:color w:val="282828"/>
          <w:sz w:val="20"/>
        </w:rPr>
        <w:t>徹底淘汰紙本鞋盒記帳，導入現代化會計與應收帳款帳齡分析模組（Aging Schedule），設定自動化催收警示，確保資金回籠萬無一失。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財務管理課程教學教材 | 嚴謹推導．完整個案．教學解答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企業財務學精選個案教學指引與詳解 | 財務個案4：Piepkorn Manufacturing 的營運資金管理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軟正黑體" w:hAnsi="微軟正黑體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軟正黑體" w:hAnsi="微軟正黑體"/>
      <w:color w:val="8C8C8C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