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微軟正黑體" w:hAnsi="微軟正黑體"/>
          <w:b/>
          <w:color w:val="1B365D"/>
          <w:sz w:val="22"/>
        </w:rPr>
        <w:t>【個案與教學指引．詳解】</w:t>
      </w:r>
    </w:p>
    <w:p>
      <w:pPr>
        <w:spacing w:before="40" w:after="80"/>
        <w:jc w:val="left"/>
      </w:pPr>
      <w:r>
        <w:rPr>
          <w:rFonts w:ascii="微軟正黑體" w:hAnsi="微軟正黑體"/>
          <w:b/>
          <w:color w:val="0F4C81"/>
          <w:sz w:val="40"/>
        </w:rPr>
        <w:t>財務個案 5：Webb Corporation 的現金管理與集中銀行系統</w:t>
      </w:r>
    </w:p>
    <w:p>
      <w:pPr>
        <w:spacing w:before="40" w:after="320"/>
        <w:jc w:val="left"/>
      </w:pPr>
      <w:r>
        <w:rPr>
          <w:rFonts w:ascii="微軟正黑體" w:hAnsi="微軟正黑體"/>
          <w:color w:val="5A6B7C"/>
          <w:sz w:val="23"/>
        </w:rPr>
        <w:t>Cash Management at Webb Corporation | 收款浮差管理 (Float Management)、區域鎖箱系統 (Lockbox)、ACH vs. 電匯無差異點分析與商業道德</w:t>
      </w:r>
    </w:p>
    <w:tbl>
      <w:tblPr>
        <w:tblW w:type="auto" w:w="0"/>
        <w:jc w:val="center"/>
        <w:tblLook w:firstColumn="1" w:firstRow="1" w:lastColumn="0" w:lastRow="0" w:noHBand="0" w:noVBand="1" w:val="04A0"/>
      </w:tblPr>
      <w:tblGrid>
        <w:gridCol w:w="9648"/>
      </w:tblGrid>
      <w:tr>
        <w:tc>
          <w:tcPr>
            <w:tcW w:type="dxa" w:w="9648"/>
            <w:shd w:fill="1B365D"/>
          </w:tcPr>
          <w:p>
            <w:pPr>
              <w:spacing w:before="20" w:after="20"/>
            </w:pPr>
            <w:r>
              <w:rPr>
                <w:sz w:val="4"/>
              </w:rPr>
            </w:r>
          </w:p>
        </w:tc>
      </w:tr>
    </w:tbl>
    <w:p>
      <w:pPr>
        <w:keepNext/>
        <w:spacing w:before="360" w:after="160"/>
      </w:pPr>
      <w:r>
        <w:rPr>
          <w:rFonts w:ascii="微軟正黑體" w:hAnsi="微軟正黑體"/>
          <w:b/>
          <w:color w:val="1B365D"/>
          <w:sz w:val="28"/>
        </w:rPr>
        <w:t>第一部分：個案完整背景與情境描述</w:t>
      </w:r>
    </w:p>
    <w:p>
      <w:pPr>
        <w:spacing w:before="0" w:after="120" w:line="276" w:lineRule="auto"/>
      </w:pPr>
      <w:r>
        <w:rPr>
          <w:rFonts w:ascii="微軟正黑體" w:hAnsi="微軟正黑體"/>
          <w:b w:val="0"/>
          <w:i w:val="0"/>
          <w:color w:val="222222"/>
          <w:sz w:val="20"/>
        </w:rPr>
        <w:t>韋伯公司（Webb Corporation）是一家總部位於美國密蘇里州聖路易市的知名全國性郵購與線上電子商務零售商，專門銷售高品質的戶外休閒裝備、園藝工具以及精緻居家用品。公司歷史悠久，擁有龐大且忠誠的消費者客群。近年來，隨著直購型錄發行量增加與線上商城業績爆發，Webb Corporation 每日處理的全美訂單與客戶支票數量呈現幾何級數增長。</w:t>
      </w:r>
    </w:p>
    <w:p>
      <w:pPr>
        <w:spacing w:before="0" w:after="120" w:line="276" w:lineRule="auto"/>
      </w:pPr>
      <w:r>
        <w:rPr>
          <w:rFonts w:ascii="微軟正黑體" w:hAnsi="微軟正黑體"/>
          <w:b w:val="0"/>
          <w:i w:val="0"/>
          <w:color w:val="222222"/>
          <w:sz w:val="20"/>
        </w:rPr>
        <w:t>然而，伴隨著營業規模的大幅擴張，公司的財務管理系統卻暴露出極為嚴重的運作瓶頸——【現金收款浮差（Collection Float）嚴重過長】。</w:t>
        <w:br/>
        <w:t>目前，Webb Corporation 依然維持傳統的單一總部集中收款體系：無論客戶身在加州舊金山、德州休士頓還是紐約市，所有的實體支付支票一律透過美國郵政（USPS）平郵寄送至位於聖路易的公司總部財務部。總部財務人員在拆信、核對帳單、登錄會計系統後，再統一將支票送往當地的開戶銀行進行清算入帳。</w:t>
      </w:r>
    </w:p>
    <w:p>
      <w:pPr>
        <w:spacing w:before="0" w:after="120" w:line="276" w:lineRule="auto"/>
      </w:pPr>
      <w:r>
        <w:rPr>
          <w:rFonts w:ascii="微軟正黑體" w:hAnsi="微軟正黑體"/>
          <w:b w:val="0"/>
          <w:i w:val="0"/>
          <w:color w:val="222222"/>
          <w:sz w:val="20"/>
        </w:rPr>
        <w:t>這種單一總部收款體系造成了極為驚人的時間延遲（Float Delay）：</w:t>
        <w:br/>
        <w:t>• 郵寄浮差（Mail Float）：客戶寄出支票到信件抵達聖路易總部平均需時 3.0 天；</w:t>
        <w:br/>
        <w:t>• 內部處理浮差（Processing Float）：財務人員拆信、人工審核與入帳登記平均需時 1.5 天；</w:t>
        <w:br/>
        <w:t>• 票據清算浮差（Availability / Clearing Float）：銀行將支票送交聯準會交換所清算直到資金可動用，平均需時 1.5 天。</w:t>
        <w:br/>
        <w:t>三者合計，從客戶在支票上簽字寄出，到 Webb Corporation 帳戶上真正擁有這筆可用現金，平均耗時整整【6.0 天】！在這長達 6 天的時間裡，數百萬美元的資金漂浮在郵政系統與銀行清算網絡中，既不能用於支付供應商貨款，也無法投入貨幣市場賺取利息，造成巨大的資金閒置機會成本。</w:t>
      </w:r>
    </w:p>
    <w:p>
      <w:pPr>
        <w:spacing w:before="0" w:after="120" w:line="276" w:lineRule="auto"/>
      </w:pPr>
      <w:r>
        <w:rPr>
          <w:rFonts w:ascii="微軟正黑體" w:hAnsi="微軟正黑體"/>
          <w:b w:val="0"/>
          <w:i w:val="0"/>
          <w:color w:val="222222"/>
          <w:sz w:val="20"/>
        </w:rPr>
        <w:t>為了徹底解決這項問題，財務長提出了一項徹底變革的現金管理升級方案——【導入區域鎖箱系統（Lockbox System）與集中銀行體系（Concentration Banking）】。</w:t>
        <w:br/>
        <w:t>具體規劃如下：</w:t>
        <w:br/>
        <w:t>1. 將全美市場劃分為 4 個核心地理區域（西部-舊金山、中西部-芝加哥、南部-達拉斯、東部-費城）。</w:t>
        <w:br/>
        <w:t>2. 在這 4 個城市分別委託當地大型商業銀行設立專用『銀行鎖箱』（郵政信箱）。當地客戶將支票就近寄往當地的鎖箱信箱。</w:t>
        <w:br/>
        <w:t>3. 合作銀行派專人每日多次前往郵局開箱取信，並利用高速光學掃描設備即時處理支票並當日存入 Webb 當地分行帳戶。</w:t>
        <w:br/>
        <w:t>4. 透過鎖箱系統，總收款浮差預計將由 6.0 天大幅壓縮至【2.5 天】（節省整整 3.5 天的浮差時間！）。</w:t>
        <w:br/>
        <w:t>5. 每天各區域銀行在完成支票清算後，必須將資金歸集（Concentrate）至聖路易總部的主帳戶（Concentration Account）。目前面臨兩條調撥通道的選擇：</w:t>
        <w:br/>
        <w:t xml:space="preserve">   • 通道 A：電匯（Wire Transfer）——資金當日即時到帳（0 天延遲），但每筆電匯手續費高達 $14.00 美元；</w:t>
        <w:br/>
        <w:t xml:space="preserve">   • 通道 B：自動清算系統（Automated Clearing House, ACH）——手續費極為低廉，每筆僅 $0.50 美元，但資金需次日到帳（1 天延遲）。</w:t>
      </w:r>
    </w:p>
    <w:p>
      <w:pPr>
        <w:keepNext/>
        <w:spacing w:before="360" w:after="160"/>
      </w:pPr>
      <w:r>
        <w:rPr>
          <w:rFonts w:ascii="微軟正黑體" w:hAnsi="微軟正黑體"/>
          <w:b/>
          <w:color w:val="1B365D"/>
          <w:sz w:val="28"/>
        </w:rPr>
        <w:t>第二部分：核心財務數據與參數彙整</w:t>
      </w:r>
    </w:p>
    <w:tbl>
      <w:tblPr>
        <w:tblW w:type="auto" w:w="0"/>
        <w:jc w:val="center"/>
        <w:tblLook w:firstColumn="1" w:firstRow="1" w:lastColumn="0" w:lastRow="0" w:noHBand="0" w:noVBand="1" w:val="04A0"/>
      </w:tblPr>
      <w:tblGrid>
        <w:gridCol w:w="2412"/>
        <w:gridCol w:w="2412"/>
        <w:gridCol w:w="2412"/>
        <w:gridCol w:w="2412"/>
      </w:tblGrid>
      <w:tr>
        <w:tc>
          <w:tcPr>
            <w:tcW w:type="dxa" w:w="3600"/>
            <w:shd w:fill="1B365D"/>
            <w:tcMar>
              <w:top w:w="120" w:type="dxa"/>
              <w:bottom w:w="120" w:type="dxa"/>
              <w:left w:w="120" w:type="dxa"/>
              <w:right w:w="120" w:type="dxa"/>
            </w:tcMar>
          </w:tcPr>
          <w:p>
            <w:pPr>
              <w:jc w:val="center"/>
            </w:pPr>
            <w:r>
              <w:rPr>
                <w:rFonts w:ascii="微軟正黑體" w:hAnsi="微軟正黑體"/>
                <w:b/>
                <w:color w:val="FFFFFF"/>
                <w:sz w:val="19"/>
              </w:rPr>
              <w:t>現金收款流程環節</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現行單一總部系統</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擬議區域鎖箱系統</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浮差縮短天數效益</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郵寄浮差天數 (Mail Float)</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3.0 天</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1.0 天</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縮短 2.0 天</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內部處理浮差天數 (Processing Float)</w:t>
            </w:r>
          </w:p>
        </w:tc>
        <w:tc>
          <w:tcPr>
            <w:tcW w:type="dxa" w:w="2160"/>
            <w:shd w:fill="F8FAFC"/>
            <w:tcMar>
              <w:top w:w="100" w:type="dxa"/>
              <w:bottom w:w="100" w:type="dxa"/>
              <w:left w:w="120" w:type="dxa"/>
              <w:right w:w="120" w:type="dxa"/>
            </w:tcMar>
          </w:tcPr>
          <w:p>
            <w:pPr>
              <w:jc w:val="center"/>
            </w:pPr>
            <w:r>
              <w:rPr>
                <w:rFonts w:ascii="微軟正黑體" w:hAnsi="微軟正黑體"/>
                <w:color w:val="1E1E1E"/>
                <w:sz w:val="18"/>
              </w:rPr>
              <w:t>1.5 天</w:t>
            </w:r>
          </w:p>
        </w:tc>
        <w:tc>
          <w:tcPr>
            <w:tcW w:type="dxa" w:w="2160"/>
            <w:shd w:fill="F8FAFC"/>
            <w:tcMar>
              <w:top w:w="100" w:type="dxa"/>
              <w:bottom w:w="100" w:type="dxa"/>
              <w:left w:w="120" w:type="dxa"/>
              <w:right w:w="120" w:type="dxa"/>
            </w:tcMar>
          </w:tcPr>
          <w:p>
            <w:pPr>
              <w:jc w:val="center"/>
            </w:pPr>
            <w:r>
              <w:rPr>
                <w:rFonts w:ascii="微軟正黑體" w:hAnsi="微軟正黑體"/>
                <w:color w:val="1E1E1E"/>
                <w:sz w:val="18"/>
              </w:rPr>
              <w:t>0.5 天</w:t>
            </w:r>
          </w:p>
        </w:tc>
        <w:tc>
          <w:tcPr>
            <w:tcW w:type="dxa" w:w="2160"/>
            <w:shd w:fill="F8FAFC"/>
            <w:tcMar>
              <w:top w:w="100" w:type="dxa"/>
              <w:bottom w:w="100" w:type="dxa"/>
              <w:left w:w="120" w:type="dxa"/>
              <w:right w:w="120" w:type="dxa"/>
            </w:tcMar>
          </w:tcPr>
          <w:p>
            <w:pPr>
              <w:jc w:val="center"/>
            </w:pPr>
            <w:r>
              <w:rPr>
                <w:rFonts w:ascii="微軟正黑體" w:hAnsi="微軟正黑體"/>
                <w:color w:val="1E1E1E"/>
                <w:sz w:val="18"/>
              </w:rPr>
              <w:t>縮短 1.0 天</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票據清算浮差天數 (Clearing Float)</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1.5 天</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1.0 天</w:t>
            </w:r>
          </w:p>
        </w:tc>
        <w:tc>
          <w:tcPr>
            <w:tcW w:type="dxa" w:w="2160"/>
            <w:shd w:fill="FFFFFF"/>
            <w:tcMar>
              <w:top w:w="100" w:type="dxa"/>
              <w:bottom w:w="100" w:type="dxa"/>
              <w:left w:w="120" w:type="dxa"/>
              <w:right w:w="120" w:type="dxa"/>
            </w:tcMar>
          </w:tcPr>
          <w:p>
            <w:pPr>
              <w:jc w:val="center"/>
            </w:pPr>
            <w:r>
              <w:rPr>
                <w:rFonts w:ascii="微軟正黑體" w:hAnsi="微軟正黑體"/>
                <w:color w:val="1E1E1E"/>
                <w:sz w:val="18"/>
              </w:rPr>
              <w:t>縮短 0.5 天</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【總收款浮差天數 (Total Float)】</w:t>
            </w:r>
          </w:p>
        </w:tc>
        <w:tc>
          <w:tcPr>
            <w:tcW w:type="dxa" w:w="2160"/>
            <w:shd w:fill="F8FAFC"/>
            <w:tcMar>
              <w:top w:w="100" w:type="dxa"/>
              <w:bottom w:w="100" w:type="dxa"/>
              <w:left w:w="120" w:type="dxa"/>
              <w:right w:w="120" w:type="dxa"/>
            </w:tcMar>
          </w:tcPr>
          <w:p>
            <w:pPr>
              <w:jc w:val="center"/>
            </w:pPr>
            <w:r>
              <w:rPr>
                <w:rFonts w:ascii="微軟正黑體" w:hAnsi="微軟正黑體"/>
                <w:color w:val="1E1E1E"/>
                <w:sz w:val="18"/>
              </w:rPr>
              <w:t>6.0 天</w:t>
            </w:r>
          </w:p>
        </w:tc>
        <w:tc>
          <w:tcPr>
            <w:tcW w:type="dxa" w:w="2160"/>
            <w:shd w:fill="F8FAFC"/>
            <w:tcMar>
              <w:top w:w="100" w:type="dxa"/>
              <w:bottom w:w="100" w:type="dxa"/>
              <w:left w:w="120" w:type="dxa"/>
              <w:right w:w="120" w:type="dxa"/>
            </w:tcMar>
          </w:tcPr>
          <w:p>
            <w:pPr>
              <w:jc w:val="center"/>
            </w:pPr>
            <w:r>
              <w:rPr>
                <w:rFonts w:ascii="微軟正黑體" w:hAnsi="微軟正黑體"/>
                <w:color w:val="1E1E1E"/>
                <w:sz w:val="18"/>
              </w:rPr>
              <w:t>2.5 天</w:t>
            </w:r>
          </w:p>
        </w:tc>
        <w:tc>
          <w:tcPr>
            <w:tcW w:type="dxa" w:w="2160"/>
            <w:shd w:fill="F8FAFC"/>
            <w:tcMar>
              <w:top w:w="100" w:type="dxa"/>
              <w:bottom w:w="100" w:type="dxa"/>
              <w:left w:w="120" w:type="dxa"/>
              <w:right w:w="120" w:type="dxa"/>
            </w:tcMar>
          </w:tcPr>
          <w:p>
            <w:pPr>
              <w:jc w:val="left"/>
            </w:pPr>
            <w:r>
              <w:rPr>
                <w:rFonts w:ascii="微軟正黑體" w:hAnsi="微軟正黑體"/>
                <w:color w:val="1E1E1E"/>
                <w:sz w:val="18"/>
              </w:rPr>
              <w:t>【淨縮短 3.5 天】</w:t>
            </w:r>
          </w:p>
        </w:tc>
      </w:tr>
    </w:tbl>
    <w:p>
      <w:pPr>
        <w:spacing w:after="80"/>
      </w:pPr>
    </w:p>
    <w:tbl>
      <w:tblPr>
        <w:tblW w:type="auto" w:w="0"/>
        <w:jc w:val="center"/>
        <w:tblLook w:firstColumn="1" w:firstRow="1" w:lastColumn="0" w:lastRow="0" w:noHBand="0" w:noVBand="1" w:val="04A0"/>
      </w:tblPr>
      <w:tblGrid>
        <w:gridCol w:w="3216"/>
        <w:gridCol w:w="3216"/>
        <w:gridCol w:w="3216"/>
      </w:tblGrid>
      <w:tr>
        <w:tc>
          <w:tcPr>
            <w:tcW w:type="dxa" w:w="3744"/>
            <w:shd w:fill="1B365D"/>
            <w:tcMar>
              <w:top w:w="120" w:type="dxa"/>
              <w:bottom w:w="120" w:type="dxa"/>
              <w:left w:w="120" w:type="dxa"/>
              <w:right w:w="120" w:type="dxa"/>
            </w:tcMar>
          </w:tcPr>
          <w:p>
            <w:pPr>
              <w:jc w:val="center"/>
            </w:pPr>
            <w:r>
              <w:rPr>
                <w:rFonts w:ascii="微軟正黑體" w:hAnsi="微軟正黑體"/>
                <w:b/>
                <w:color w:val="FFFFFF"/>
                <w:sz w:val="19"/>
              </w:rPr>
              <w:t>營運與財務參數名稱</w:t>
            </w:r>
          </w:p>
        </w:tc>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基準數值</w:t>
            </w:r>
          </w:p>
        </w:tc>
        <w:tc>
          <w:tcPr>
            <w:tcW w:type="dxa" w:w="3600"/>
            <w:shd w:fill="1B365D"/>
            <w:tcMar>
              <w:top w:w="120" w:type="dxa"/>
              <w:bottom w:w="120" w:type="dxa"/>
              <w:left w:w="120" w:type="dxa"/>
              <w:right w:w="120" w:type="dxa"/>
            </w:tcMar>
          </w:tcPr>
          <w:p>
            <w:pPr>
              <w:jc w:val="center"/>
            </w:pPr>
            <w:r>
              <w:rPr>
                <w:rFonts w:ascii="微軟正黑體" w:hAnsi="微軟正黑體"/>
                <w:b/>
                <w:color w:val="FFFFFF"/>
                <w:sz w:val="19"/>
              </w:rPr>
              <w:t>財務備註與機制說明</w:t>
            </w:r>
          </w:p>
        </w:tc>
      </w:tr>
      <w:tr>
        <w:tc>
          <w:tcPr>
            <w:tcW w:type="dxa" w:w="3744"/>
            <w:shd w:fill="FFFFFF"/>
            <w:tcMar>
              <w:top w:w="100" w:type="dxa"/>
              <w:bottom w:w="100" w:type="dxa"/>
              <w:left w:w="120" w:type="dxa"/>
              <w:right w:w="120" w:type="dxa"/>
            </w:tcMar>
          </w:tcPr>
          <w:p>
            <w:pPr>
              <w:jc w:val="left"/>
            </w:pPr>
            <w:r>
              <w:rPr>
                <w:rFonts w:ascii="微軟正黑體" w:hAnsi="微軟正黑體"/>
                <w:color w:val="1E1E1E"/>
                <w:sz w:val="18"/>
              </w:rPr>
              <w:t>區域收款中心數量 (Collection Centers)</w:t>
            </w:r>
          </w:p>
        </w:tc>
        <w:tc>
          <w:tcPr>
            <w:tcW w:type="dxa" w:w="2304"/>
            <w:shd w:fill="FFFFFF"/>
            <w:tcMar>
              <w:top w:w="100" w:type="dxa"/>
              <w:bottom w:w="100" w:type="dxa"/>
              <w:left w:w="120" w:type="dxa"/>
              <w:right w:w="120" w:type="dxa"/>
            </w:tcMar>
          </w:tcPr>
          <w:p>
            <w:pPr>
              <w:jc w:val="center"/>
            </w:pPr>
            <w:r>
              <w:rPr>
                <w:rFonts w:ascii="微軟正黑體" w:hAnsi="微軟正黑體"/>
                <w:color w:val="1E1E1E"/>
                <w:sz w:val="18"/>
              </w:rPr>
              <w:t>4 個區域中心</w:t>
            </w:r>
          </w:p>
        </w:tc>
        <w:tc>
          <w:tcPr>
            <w:tcW w:type="dxa" w:w="3600"/>
            <w:shd w:fill="FFFFFF"/>
            <w:tcMar>
              <w:top w:w="100" w:type="dxa"/>
              <w:bottom w:w="100" w:type="dxa"/>
              <w:left w:w="120" w:type="dxa"/>
              <w:right w:w="120" w:type="dxa"/>
            </w:tcMar>
          </w:tcPr>
          <w:p>
            <w:pPr>
              <w:jc w:val="left"/>
            </w:pPr>
            <w:r>
              <w:rPr>
                <w:rFonts w:ascii="微軟正黑體" w:hAnsi="微軟正黑體"/>
                <w:color w:val="1E1E1E"/>
                <w:sz w:val="18"/>
              </w:rPr>
              <w:t>舊金山、芝加哥、達拉斯、費城</w:t>
            </w:r>
          </w:p>
        </w:tc>
      </w:tr>
      <w:tr>
        <w:tc>
          <w:tcPr>
            <w:tcW w:type="dxa" w:w="3744"/>
            <w:shd w:fill="F8FAFC"/>
            <w:tcMar>
              <w:top w:w="100" w:type="dxa"/>
              <w:bottom w:w="100" w:type="dxa"/>
              <w:left w:w="120" w:type="dxa"/>
              <w:right w:w="120" w:type="dxa"/>
            </w:tcMar>
          </w:tcPr>
          <w:p>
            <w:pPr>
              <w:jc w:val="left"/>
            </w:pPr>
            <w:r>
              <w:rPr>
                <w:rFonts w:ascii="微軟正黑體" w:hAnsi="微軟正黑體"/>
                <w:color w:val="1E1E1E"/>
                <w:sz w:val="18"/>
              </w:rPr>
              <w:t>每個區域每日平均收款額 (Daily Receipts / Center)</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$193,000 美元 / 天</w:t>
            </w:r>
          </w:p>
        </w:tc>
        <w:tc>
          <w:tcPr>
            <w:tcW w:type="dxa" w:w="3600"/>
            <w:shd w:fill="F8FAFC"/>
            <w:tcMar>
              <w:top w:w="100" w:type="dxa"/>
              <w:bottom w:w="100" w:type="dxa"/>
              <w:left w:w="120" w:type="dxa"/>
              <w:right w:w="120" w:type="dxa"/>
            </w:tcMar>
          </w:tcPr>
          <w:p>
            <w:pPr>
              <w:jc w:val="right"/>
            </w:pPr>
            <w:r>
              <w:rPr>
                <w:rFonts w:ascii="微軟正黑體" w:hAnsi="微軟正黑體"/>
                <w:color w:val="1E1E1E"/>
                <w:sz w:val="18"/>
              </w:rPr>
              <w:t>4 區合計每日全公司總收款 $772,000 美元</w:t>
            </w:r>
          </w:p>
        </w:tc>
      </w:tr>
      <w:tr>
        <w:tc>
          <w:tcPr>
            <w:tcW w:type="dxa" w:w="3744"/>
            <w:shd w:fill="FFFFFF"/>
            <w:tcMar>
              <w:top w:w="100" w:type="dxa"/>
              <w:bottom w:w="100" w:type="dxa"/>
              <w:left w:w="120" w:type="dxa"/>
              <w:right w:w="120" w:type="dxa"/>
            </w:tcMar>
          </w:tcPr>
          <w:p>
            <w:pPr>
              <w:jc w:val="left"/>
            </w:pPr>
            <w:r>
              <w:rPr>
                <w:rFonts w:ascii="微軟正黑體" w:hAnsi="微軟正黑體"/>
                <w:color w:val="1E1E1E"/>
                <w:sz w:val="18"/>
              </w:rPr>
              <w:t>全年營運天數 (Operating Days per Year)</w:t>
            </w:r>
          </w:p>
        </w:tc>
        <w:tc>
          <w:tcPr>
            <w:tcW w:type="dxa" w:w="2304"/>
            <w:shd w:fill="FFFFFF"/>
            <w:tcMar>
              <w:top w:w="100" w:type="dxa"/>
              <w:bottom w:w="100" w:type="dxa"/>
              <w:left w:w="120" w:type="dxa"/>
              <w:right w:w="120" w:type="dxa"/>
            </w:tcMar>
          </w:tcPr>
          <w:p>
            <w:pPr>
              <w:jc w:val="center"/>
            </w:pPr>
            <w:r>
              <w:rPr>
                <w:rFonts w:ascii="微軟正黑體" w:hAnsi="微軟正黑體"/>
                <w:color w:val="1E1E1E"/>
                <w:sz w:val="18"/>
              </w:rPr>
              <w:t>365 天</w:t>
            </w:r>
          </w:p>
        </w:tc>
        <w:tc>
          <w:tcPr>
            <w:tcW w:type="dxa" w:w="3600"/>
            <w:shd w:fill="FFFFFF"/>
            <w:tcMar>
              <w:top w:w="100" w:type="dxa"/>
              <w:bottom w:w="100" w:type="dxa"/>
              <w:left w:w="120" w:type="dxa"/>
              <w:right w:w="120" w:type="dxa"/>
            </w:tcMar>
          </w:tcPr>
          <w:p>
            <w:pPr>
              <w:jc w:val="left"/>
            </w:pPr>
            <w:r>
              <w:rPr>
                <w:rFonts w:ascii="微軟正黑體" w:hAnsi="微軟正黑體"/>
                <w:color w:val="1E1E1E"/>
                <w:sz w:val="18"/>
              </w:rPr>
              <w:t>現金流全年無休持續運作</w:t>
            </w:r>
          </w:p>
        </w:tc>
      </w:tr>
      <w:tr>
        <w:tc>
          <w:tcPr>
            <w:tcW w:type="dxa" w:w="3744"/>
            <w:shd w:fill="F8FAFC"/>
            <w:tcMar>
              <w:top w:w="100" w:type="dxa"/>
              <w:bottom w:w="100" w:type="dxa"/>
              <w:left w:w="120" w:type="dxa"/>
              <w:right w:w="120" w:type="dxa"/>
            </w:tcMar>
          </w:tcPr>
          <w:p>
            <w:pPr>
              <w:jc w:val="left"/>
            </w:pPr>
            <w:r>
              <w:rPr>
                <w:rFonts w:ascii="微軟正黑體" w:hAnsi="微軟正黑體"/>
                <w:color w:val="1E1E1E"/>
                <w:sz w:val="18"/>
              </w:rPr>
              <w:t>短期投資年化報酬率 (Treasury Bill Rate, r)</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5.00% 年利率</w:t>
            </w:r>
          </w:p>
        </w:tc>
        <w:tc>
          <w:tcPr>
            <w:tcW w:type="dxa" w:w="3600"/>
            <w:shd w:fill="F8FAFC"/>
            <w:tcMar>
              <w:top w:w="100" w:type="dxa"/>
              <w:bottom w:w="100" w:type="dxa"/>
              <w:left w:w="120" w:type="dxa"/>
              <w:right w:w="120" w:type="dxa"/>
            </w:tcMar>
          </w:tcPr>
          <w:p>
            <w:pPr>
              <w:jc w:val="left"/>
            </w:pPr>
            <w:r>
              <w:rPr>
                <w:rFonts w:ascii="微軟正黑體" w:hAnsi="微軟正黑體"/>
                <w:color w:val="1E1E1E"/>
                <w:sz w:val="18"/>
              </w:rPr>
              <w:t>短期無風險國庫券/貨幣市場年化回報</w:t>
            </w:r>
          </w:p>
        </w:tc>
      </w:tr>
      <w:tr>
        <w:tc>
          <w:tcPr>
            <w:tcW w:type="dxa" w:w="3744"/>
            <w:shd w:fill="FFFFFF"/>
            <w:tcMar>
              <w:top w:w="100" w:type="dxa"/>
              <w:bottom w:w="100" w:type="dxa"/>
              <w:left w:w="120" w:type="dxa"/>
              <w:right w:w="120" w:type="dxa"/>
            </w:tcMar>
          </w:tcPr>
          <w:p>
            <w:pPr>
              <w:jc w:val="left"/>
            </w:pPr>
            <w:r>
              <w:rPr>
                <w:rFonts w:ascii="微軟正黑體" w:hAnsi="微軟正黑體"/>
                <w:color w:val="1E1E1E"/>
                <w:sz w:val="18"/>
              </w:rPr>
              <w:t>每日無風險利率 (Daily Interest Rate, i)</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0.0136986% / 天</w:t>
            </w:r>
          </w:p>
        </w:tc>
        <w:tc>
          <w:tcPr>
            <w:tcW w:type="dxa" w:w="3600"/>
            <w:shd w:fill="FFFFFF"/>
            <w:tcMar>
              <w:top w:w="100" w:type="dxa"/>
              <w:bottom w:w="100" w:type="dxa"/>
              <w:left w:w="120" w:type="dxa"/>
              <w:right w:w="120" w:type="dxa"/>
            </w:tcMar>
          </w:tcPr>
          <w:p>
            <w:pPr>
              <w:jc w:val="right"/>
            </w:pPr>
            <w:r>
              <w:rPr>
                <w:rFonts w:ascii="微軟正黑體" w:hAnsi="微軟正黑體"/>
                <w:color w:val="1E1E1E"/>
                <w:sz w:val="18"/>
              </w:rPr>
              <w:t>i = 5.0% / 365 天 ≈ 0.000136986</w:t>
            </w:r>
          </w:p>
        </w:tc>
      </w:tr>
      <w:tr>
        <w:tc>
          <w:tcPr>
            <w:tcW w:type="dxa" w:w="3744"/>
            <w:shd w:fill="F8FAFC"/>
            <w:tcMar>
              <w:top w:w="100" w:type="dxa"/>
              <w:bottom w:w="100" w:type="dxa"/>
              <w:left w:w="120" w:type="dxa"/>
              <w:right w:w="120" w:type="dxa"/>
            </w:tcMar>
          </w:tcPr>
          <w:p>
            <w:pPr>
              <w:jc w:val="left"/>
            </w:pPr>
            <w:r>
              <w:rPr>
                <w:rFonts w:ascii="微軟正黑體" w:hAnsi="微軟正黑體"/>
                <w:color w:val="1E1E1E"/>
                <w:sz w:val="18"/>
              </w:rPr>
              <w:t>電匯調撥通道手續費 (Wire Transfer Fee)</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$14.00 美元 / 筆</w:t>
            </w:r>
          </w:p>
        </w:tc>
        <w:tc>
          <w:tcPr>
            <w:tcW w:type="dxa" w:w="3600"/>
            <w:shd w:fill="F8FAFC"/>
            <w:tcMar>
              <w:top w:w="100" w:type="dxa"/>
              <w:bottom w:w="100" w:type="dxa"/>
              <w:left w:w="120" w:type="dxa"/>
              <w:right w:w="120" w:type="dxa"/>
            </w:tcMar>
          </w:tcPr>
          <w:p>
            <w:pPr>
              <w:jc w:val="left"/>
            </w:pPr>
            <w:r>
              <w:rPr>
                <w:rFonts w:ascii="微軟正黑體" w:hAnsi="微軟正黑體"/>
                <w:color w:val="1E1E1E"/>
                <w:sz w:val="18"/>
              </w:rPr>
              <w:t>即時到帳 (0 天延遲)，每區每日匯款一次</w:t>
            </w:r>
          </w:p>
        </w:tc>
      </w:tr>
      <w:tr>
        <w:tc>
          <w:tcPr>
            <w:tcW w:type="dxa" w:w="3744"/>
            <w:shd w:fill="FFFFFF"/>
            <w:tcMar>
              <w:top w:w="100" w:type="dxa"/>
              <w:bottom w:w="100" w:type="dxa"/>
              <w:left w:w="120" w:type="dxa"/>
              <w:right w:w="120" w:type="dxa"/>
            </w:tcMar>
          </w:tcPr>
          <w:p>
            <w:pPr>
              <w:jc w:val="left"/>
            </w:pPr>
            <w:r>
              <w:rPr>
                <w:rFonts w:ascii="微軟正黑體" w:hAnsi="微軟正黑體"/>
                <w:color w:val="1E1E1E"/>
                <w:sz w:val="18"/>
              </w:rPr>
              <w:t>ACH 自動清算通道手續費 (ACH Transfer Fee)</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$0.50 美元 / 筆</w:t>
            </w:r>
          </w:p>
        </w:tc>
        <w:tc>
          <w:tcPr>
            <w:tcW w:type="dxa" w:w="3600"/>
            <w:shd w:fill="FFFFFF"/>
            <w:tcMar>
              <w:top w:w="100" w:type="dxa"/>
              <w:bottom w:w="100" w:type="dxa"/>
              <w:left w:w="120" w:type="dxa"/>
              <w:right w:w="120" w:type="dxa"/>
            </w:tcMar>
          </w:tcPr>
          <w:p>
            <w:pPr>
              <w:jc w:val="left"/>
            </w:pPr>
            <w:r>
              <w:rPr>
                <w:rFonts w:ascii="微軟正黑體" w:hAnsi="微軟正黑體"/>
                <w:color w:val="1E1E1E"/>
                <w:sz w:val="18"/>
              </w:rPr>
              <w:t>隔日到帳 (1 天延遲)，每區每日轉帳一次</w:t>
            </w:r>
          </w:p>
        </w:tc>
      </w:tr>
    </w:tbl>
    <w:p>
      <w:pPr>
        <w:keepNext/>
        <w:spacing w:before="360" w:after="160"/>
      </w:pPr>
      <w:r>
        <w:rPr>
          <w:rFonts w:ascii="微軟正黑體" w:hAnsi="微軟正黑體"/>
          <w:b/>
          <w:color w:val="1B365D"/>
          <w:sz w:val="28"/>
        </w:rPr>
        <w:t>第三部分：個案核心作業問題清單</w:t>
      </w:r>
    </w:p>
    <w:p>
      <w:pPr>
        <w:pStyle w:val="ListBullet"/>
        <w:spacing w:before="20" w:after="60" w:line="276" w:lineRule="auto"/>
      </w:pPr>
      <w:r>
        <w:rPr>
          <w:rFonts w:ascii="微軟正黑體" w:hAnsi="微軟正黑體"/>
          <w:b/>
          <w:color w:val="1B365D"/>
          <w:sz w:val="20"/>
        </w:rPr>
        <w:t>問題一（現行系統總浮差金額計算）：</w:t>
      </w:r>
      <w:r>
        <w:rPr>
          <w:rFonts w:ascii="微軟正黑體" w:hAnsi="微軟正黑體"/>
          <w:color w:val="282828"/>
          <w:sz w:val="20"/>
        </w:rPr>
        <w:t>在現行的單一總部集中收款體系下：</w:t>
        <w:br/>
        <w:t>1. Webb Corporation 每日平均被凍結在浮差途中的【總收款浮差金額】（Total Collection Float）是多少？</w:t>
        <w:br/>
        <w:t>2. 這筆被凍結的資金對公司造成了多少潛在的年化利息損失？</w:t>
      </w:r>
    </w:p>
    <w:p>
      <w:pPr>
        <w:pStyle w:val="ListBullet"/>
        <w:spacing w:before="20" w:after="60" w:line="276" w:lineRule="auto"/>
      </w:pPr>
      <w:r>
        <w:rPr>
          <w:rFonts w:ascii="微軟正黑體" w:hAnsi="微軟正黑體"/>
          <w:b/>
          <w:color w:val="1B365D"/>
          <w:sz w:val="20"/>
        </w:rPr>
        <w:t>問題二（鎖箱系統釋放資金效益分析）：</w:t>
      </w:r>
      <w:r>
        <w:rPr>
          <w:rFonts w:ascii="微軟正黑體" w:hAnsi="微軟正黑體"/>
          <w:color w:val="282828"/>
          <w:sz w:val="20"/>
        </w:rPr>
        <w:t>若公司導入 4 個區域鎖箱中心，將總收款浮差由 6.0 天大幅壓縮至 2.5 天：</w:t>
        <w:br/>
        <w:t>1. 該系統能為公司永久性額外釋放出多少【每日平均可用現金餘額】（Available Cash Balance）？</w:t>
        <w:br/>
        <w:t>2. 假設釋放出的流動資金全數投入 5% 利率的短期國庫券，該系統每年能為公司創造多少實質的年化利息增量收益？</w:t>
      </w:r>
    </w:p>
    <w:p>
      <w:pPr>
        <w:pStyle w:val="ListBullet"/>
        <w:spacing w:before="20" w:after="60" w:line="276" w:lineRule="auto"/>
      </w:pPr>
      <w:r>
        <w:rPr>
          <w:rFonts w:ascii="微軟正黑體" w:hAnsi="微軟正黑體"/>
          <w:b/>
          <w:color w:val="1B365D"/>
          <w:sz w:val="20"/>
        </w:rPr>
        <w:t>問題三（集中銀行調撥通道評估：Wire vs. ACH）：</w:t>
      </w:r>
      <w:r>
        <w:rPr>
          <w:rFonts w:ascii="微軟正黑體" w:hAnsi="微軟正黑體"/>
          <w:color w:val="282828"/>
          <w:sz w:val="20"/>
        </w:rPr>
        <w:t>針對每日將 4 個區域中心的資金歸集匯總至聖路易總部主帳戶：</w:t>
        <w:br/>
        <w:t>1. 方案 A（電匯 Wire Transfer）：計算 4 個中心全年度需支付的電匯手續費總額；由於電匯即時到帳，利息損失為多少？</w:t>
        <w:br/>
        <w:t>2. 方案 B（自動清算 ACH）：計算全年度的 ACH 手續費總額；由於 ACH 存在 1 天的在途延遲，計算因此產生的全年度利息機會成本。</w:t>
        <w:br/>
        <w:t>3. 綜合比較手續費與利息損失，Webb Corporation 應該選擇電匯還是 ACH？每年可為公司多省下多少淨成本？</w:t>
      </w:r>
    </w:p>
    <w:p>
      <w:pPr>
        <w:pStyle w:val="ListBullet"/>
        <w:spacing w:before="20" w:after="60" w:line="276" w:lineRule="auto"/>
      </w:pPr>
      <w:r>
        <w:rPr>
          <w:rFonts w:ascii="微軟正黑體" w:hAnsi="微軟正黑體"/>
          <w:b/>
          <w:color w:val="1B365D"/>
          <w:sz w:val="20"/>
        </w:rPr>
        <w:t>問題四（轉帳金額無差異點 Indifference Point 分析）：</w:t>
      </w:r>
      <w:r>
        <w:rPr>
          <w:rFonts w:ascii="微軟正黑體" w:hAnsi="微軟正黑體"/>
          <w:color w:val="282828"/>
          <w:sz w:val="20"/>
        </w:rPr>
        <w:t>1. 請推導出使『電匯調撥』與『ACH 調撥』之總成本恰好相等的【單筆轉帳金額無差異點】（Indifference Transfer Amount, $T^*$）數學公式。</w:t>
        <w:br/>
        <w:t>2. 在 5% 的年利率條件下，計算該臨界金額具體為多少美元？</w:t>
        <w:br/>
        <w:t>3. 根據計算結果，說明在什麼情況下應採用電匯、什麼情況下應採用 ACH？</w:t>
      </w:r>
    </w:p>
    <w:p>
      <w:pPr>
        <w:pStyle w:val="ListBullet"/>
        <w:spacing w:before="20" w:after="60" w:line="276" w:lineRule="auto"/>
      </w:pPr>
      <w:r>
        <w:rPr>
          <w:rFonts w:ascii="微軟正黑體" w:hAnsi="微軟正黑體"/>
          <w:b/>
          <w:color w:val="1B365D"/>
          <w:sz w:val="20"/>
        </w:rPr>
        <w:t>問題五（現金管理倫理與商業道德探討）：</w:t>
      </w:r>
      <w:r>
        <w:rPr>
          <w:rFonts w:ascii="微軟正黑體" w:hAnsi="微軟正黑體"/>
          <w:color w:val="282828"/>
          <w:sz w:val="20"/>
        </w:rPr>
        <w:t>在企業現金管理實務中，除了『加速收款浮差』，許多財務經理亦熱衷於『拖延付款浮差』（Disbursement Float），例如刻意在偏遠地區的小銀行設立支票帳戶以拉長支票寄給供應商後的在途清算時間。請問這種做法是否合乎商業倫理？會為企業帶來哪些潛在的商譽損害與法規約束（如 Check 21 法案）？</w:t>
      </w:r>
    </w:p>
    <w:p>
      <w:pPr>
        <w:keepNext/>
        <w:spacing w:before="360" w:after="160"/>
      </w:pPr>
      <w:r>
        <w:rPr>
          <w:rFonts w:ascii="微軟正黑體" w:hAnsi="微軟正黑體"/>
          <w:b/>
          <w:color w:val="1B365D"/>
          <w:sz w:val="28"/>
        </w:rPr>
        <w:t>第四部分：教師教學指引（Instructor's Teaching Guide）</w:t>
      </w:r>
    </w:p>
    <w:p>
      <w:pPr>
        <w:keepNext/>
        <w:spacing w:before="240" w:after="120"/>
      </w:pPr>
      <w:r>
        <w:rPr>
          <w:rFonts w:ascii="微軟正黑體" w:hAnsi="微軟正黑體"/>
          <w:b/>
          <w:color w:val="2C5E8A"/>
          <w:sz w:val="24"/>
        </w:rPr>
        <w:t>4.1 教學目標與先備知識要求</w:t>
      </w:r>
    </w:p>
    <w:p>
      <w:pPr>
        <w:pStyle w:val="ListBullet"/>
        <w:spacing w:before="20" w:after="60" w:line="276" w:lineRule="auto"/>
      </w:pPr>
      <w:r>
        <w:rPr>
          <w:rFonts w:ascii="微軟正黑體" w:hAnsi="微軟正黑體"/>
          <w:b/>
          <w:color w:val="1B365D"/>
          <w:sz w:val="20"/>
        </w:rPr>
        <w:t>教學目標 1：掌握浮差（Float）的量化評價與時間價值：</w:t>
      </w:r>
      <w:r>
        <w:rPr>
          <w:rFonts w:ascii="微軟正黑體" w:hAnsi="微軟正黑體"/>
          <w:color w:val="282828"/>
          <w:sz w:val="20"/>
        </w:rPr>
        <w:t>讓學生徹底理解『浮差即是無息貸款』，學會計算收款浮差、付款浮差與淨浮差（Net Float）。</w:t>
      </w:r>
    </w:p>
    <w:p>
      <w:pPr>
        <w:pStyle w:val="ListBullet"/>
        <w:spacing w:before="20" w:after="60" w:line="276" w:lineRule="auto"/>
      </w:pPr>
      <w:r>
        <w:rPr>
          <w:rFonts w:ascii="微軟正黑體" w:hAnsi="微軟正黑體"/>
          <w:b/>
          <w:color w:val="1B365D"/>
          <w:sz w:val="20"/>
        </w:rPr>
        <w:t>教學目標 2：精通集中銀行與鎖箱系統的成本效益（NPV）分析模型：</w:t>
      </w:r>
      <w:r>
        <w:rPr>
          <w:rFonts w:ascii="微軟正黑體" w:hAnsi="微軟正黑體"/>
          <w:color w:val="282828"/>
          <w:sz w:val="20"/>
        </w:rPr>
        <w:t>訓練學生權衡『縮短浮差帶來的利息收益』與『銀行收取的服務手續費』。</w:t>
      </w:r>
    </w:p>
    <w:p>
      <w:pPr>
        <w:pStyle w:val="ListBullet"/>
        <w:spacing w:before="20" w:after="60" w:line="276" w:lineRule="auto"/>
      </w:pPr>
      <w:r>
        <w:rPr>
          <w:rFonts w:ascii="微軟正黑體" w:hAnsi="微軟正黑體"/>
          <w:b/>
          <w:color w:val="1B365D"/>
          <w:sz w:val="20"/>
        </w:rPr>
        <w:t>教學目標 3：掌握微觀決策無差異點（Indifference Point）建模：</w:t>
      </w:r>
      <w:r>
        <w:rPr>
          <w:rFonts w:ascii="微軟正黑體" w:hAnsi="微軟正黑體"/>
          <w:color w:val="282828"/>
          <w:sz w:val="20"/>
        </w:rPr>
        <w:t>培養學生透過代數方程式求解邊際成本等於邊際效益之臨界點的量化分析思維。</w:t>
      </w:r>
    </w:p>
    <w:p>
      <w:pPr>
        <w:pStyle w:val="ListBullet"/>
        <w:spacing w:before="20" w:after="60" w:line="276" w:lineRule="auto"/>
      </w:pPr>
      <w:r>
        <w:rPr>
          <w:rFonts w:ascii="微軟正黑體" w:hAnsi="微軟正黑體"/>
          <w:b/>
          <w:color w:val="1B365D"/>
          <w:sz w:val="20"/>
        </w:rPr>
        <w:t>先備知識：</w:t>
      </w:r>
      <w:r>
        <w:rPr>
          <w:rFonts w:ascii="微軟正黑體" w:hAnsi="微軟正黑體"/>
          <w:color w:val="282828"/>
          <w:sz w:val="20"/>
        </w:rPr>
        <w:t>貨幣時間價值、每日連續/單利折算、銀行結算體系基本運作機制（票據清算、Wire、ACH）。</w:t>
      </w:r>
    </w:p>
    <w:p>
      <w:pPr>
        <w:keepNext/>
        <w:spacing w:before="240" w:after="120"/>
      </w:pPr>
      <w:r>
        <w:rPr>
          <w:rFonts w:ascii="微軟正黑體" w:hAnsi="微軟正黑體"/>
          <w:b/>
          <w:color w:val="2C5E8A"/>
          <w:sz w:val="24"/>
        </w:rPr>
        <w:t>4.2 核心財務理論架構深度剖析</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80"/>
            </w:pPr>
            <w:r>
              <w:rPr>
                <w:rFonts w:ascii="微軟正黑體" w:hAnsi="微軟正黑體"/>
                <w:b/>
                <w:color w:val="1B365D"/>
                <w:sz w:val="21"/>
              </w:rPr>
              <w:t>📌 核心模型剖析：浮差價值與無差異轉帳金額公式推導</w:t>
            </w:r>
          </w:p>
          <w:p>
            <w:pPr>
              <w:spacing w:before="20" w:after="60" w:line="276" w:lineRule="auto"/>
            </w:pPr>
            <w:r>
              <w:rPr>
                <w:rFonts w:ascii="微軟正黑體" w:hAnsi="微軟正黑體"/>
                <w:color w:val="2D3748"/>
                <w:sz w:val="19"/>
              </w:rPr>
              <w:t>1. 總收款浮差價值公式：</w:t>
            </w:r>
          </w:p>
          <w:p>
            <w:pPr>
              <w:spacing w:before="20" w:after="60" w:line="276" w:lineRule="auto"/>
            </w:pPr>
            <w:r>
              <w:rPr>
                <w:rFonts w:ascii="微軟正黑體" w:hAnsi="微軟正黑體"/>
                <w:color w:val="2D3748"/>
                <w:sz w:val="19"/>
              </w:rPr>
              <w:t>$$\text{Total Collection Float} = \text{每日平均收款額 (Average Daily Receipts)} \times \text{總浮差天數 (Float Days)}$$</w:t>
            </w:r>
          </w:p>
          <w:p>
            <w:pPr>
              <w:spacing w:before="20" w:after="60" w:line="276" w:lineRule="auto"/>
            </w:pPr>
            <w:r>
              <w:rPr>
                <w:rFonts w:ascii="微軟正黑體" w:hAnsi="微軟正黑體"/>
                <w:color w:val="2D3748"/>
                <w:sz w:val="19"/>
              </w:rPr>
              <w:t>• 縮短浮差所釋放出的可用現金 $= \text{每日平均收款額} \times \Delta \text{Float Days}$</w:t>
            </w:r>
          </w:p>
          <w:p>
            <w:pPr>
              <w:spacing w:before="20" w:after="60" w:line="276" w:lineRule="auto"/>
            </w:pPr>
            <w:r>
              <w:rPr>
                <w:rFonts w:ascii="微軟正黑體" w:hAnsi="微軟正黑體"/>
                <w:color w:val="2D3748"/>
                <w:sz w:val="19"/>
              </w:rPr>
              <w:t>• 每年創造的利息收益 $= \text{釋放現金規模} \times \text{年化報酬率 } r$</w:t>
            </w:r>
          </w:p>
          <w:p>
            <w:pPr>
              <w:spacing w:before="20" w:after="60" w:line="276" w:lineRule="auto"/>
            </w:pPr>
            <w:r>
              <w:rPr>
                <w:rFonts w:ascii="微軟正黑體" w:hAnsi="微軟正黑體"/>
                <w:color w:val="2D3748"/>
                <w:sz w:val="19"/>
              </w:rPr>
              <w:t>2. 資金集中調撥之無差異點公式（Wire vs. ACH）：</w:t>
            </w:r>
          </w:p>
          <w:p>
            <w:pPr>
              <w:spacing w:before="20" w:after="60" w:line="276" w:lineRule="auto"/>
            </w:pPr>
            <w:r>
              <w:rPr>
                <w:rFonts w:ascii="微軟正黑體" w:hAnsi="微軟正黑體"/>
                <w:color w:val="2D3748"/>
                <w:sz w:val="19"/>
              </w:rPr>
              <w:t>設單筆轉帳金額為 $T$，每日利率為 $i = r / 365$：</w:t>
            </w:r>
          </w:p>
          <w:p>
            <w:pPr>
              <w:spacing w:before="20" w:after="60" w:line="276" w:lineRule="auto"/>
            </w:pPr>
            <w:r>
              <w:rPr>
                <w:rFonts w:ascii="微軟正黑體" w:hAnsi="微軟正黑體"/>
                <w:color w:val="2D3748"/>
                <w:sz w:val="19"/>
              </w:rPr>
              <w:t>• 電匯成本 $= \text{Wire Fee}$（即時到帳，無利息損失）</w:t>
            </w:r>
          </w:p>
          <w:p>
            <w:pPr>
              <w:spacing w:before="20" w:after="60" w:line="276" w:lineRule="auto"/>
            </w:pPr>
            <w:r>
              <w:rPr>
                <w:rFonts w:ascii="微軟正黑體" w:hAnsi="微軟正黑體"/>
                <w:color w:val="2D3748"/>
                <w:sz w:val="19"/>
              </w:rPr>
              <w:t>• ACH 成本 $= \text{ACH Fee} + T \times i \times 1 \text{ 天}$（手續費低，但損失 1 天利息）</w:t>
            </w:r>
          </w:p>
          <w:p>
            <w:pPr>
              <w:spacing w:before="20" w:after="60" w:line="276" w:lineRule="auto"/>
            </w:pPr>
            <w:r>
              <w:rPr>
                <w:rFonts w:ascii="微軟正黑體" w:hAnsi="微軟正黑體"/>
                <w:color w:val="2D3748"/>
                <w:sz w:val="19"/>
              </w:rPr>
              <w:t>令兩者成本相等：$\text{Wire Fee} = \text{ACH Fee} + T^* \times i$</w:t>
            </w:r>
          </w:p>
          <w:p>
            <w:pPr>
              <w:spacing w:before="20" w:after="60" w:line="276" w:lineRule="auto"/>
            </w:pPr>
            <w:r>
              <w:rPr>
                <w:rFonts w:ascii="微軟正黑體" w:hAnsi="微軟正黑體"/>
                <w:color w:val="2D3748"/>
                <w:sz w:val="19"/>
              </w:rPr>
              <w:t>$$T^* = \frac{\text{Wire Fee} - \text{ACH Fee}}{i} = \frac{\Delta \text{Fee}}{i}$$</w:t>
            </w:r>
          </w:p>
          <w:p>
            <w:pPr>
              <w:spacing w:before="20" w:after="60" w:line="276" w:lineRule="auto"/>
            </w:pPr>
            <w:r>
              <w:rPr>
                <w:rFonts w:ascii="微軟正黑體" w:hAnsi="微軟正黑體"/>
                <w:color w:val="2D3748"/>
                <w:sz w:val="19"/>
              </w:rPr>
              <w:t>• 當每日轉帳金額 $T &gt; T^*$ 時：利息損失巨大，電匯較優；</w:t>
            </w:r>
          </w:p>
          <w:p>
            <w:pPr>
              <w:spacing w:before="20" w:after="60" w:line="276" w:lineRule="auto"/>
            </w:pPr>
            <w:r>
              <w:rPr>
                <w:rFonts w:ascii="微軟正黑體" w:hAnsi="微軟正黑體"/>
                <w:color w:val="2D3748"/>
                <w:sz w:val="19"/>
              </w:rPr>
              <w:t>• 當每日轉帳金額 $T &lt; T^*$ 時：手續費佔比過高，ACH 較優！</w:t>
            </w:r>
          </w:p>
        </w:tc>
      </w:tr>
    </w:tbl>
    <w:p>
      <w:pPr>
        <w:keepNext/>
        <w:spacing w:before="240" w:after="120"/>
      </w:pPr>
      <w:r>
        <w:rPr>
          <w:rFonts w:ascii="微軟正黑體" w:hAnsi="微軟正黑體"/>
          <w:b/>
          <w:color w:val="2C5E8A"/>
          <w:sz w:val="24"/>
        </w:rPr>
        <w:t>4.3 學生常見學習盲點與引導策略</w:t>
      </w:r>
    </w:p>
    <w:p>
      <w:pPr>
        <w:pStyle w:val="ListBullet"/>
        <w:spacing w:before="20" w:after="60" w:line="276" w:lineRule="auto"/>
      </w:pPr>
      <w:r>
        <w:rPr>
          <w:rFonts w:ascii="微軟正黑體" w:hAnsi="微軟正黑體"/>
          <w:b/>
          <w:color w:val="1B365D"/>
          <w:sz w:val="20"/>
        </w:rPr>
        <w:t>盲點一：『電匯速度最快、當天到帳，所以電匯永遠比 ACH 好』</w:t>
      </w:r>
      <w:r>
        <w:rPr>
          <w:rFonts w:ascii="微軟正黑體" w:hAnsi="微軟正黑體"/>
          <w:color w:val="282828"/>
          <w:sz w:val="20"/>
        </w:rPr>
        <w:t>引導技巧：提醒學生注意交易成本！電匯一筆 $14 美元，ACH 一筆 $0.50 美元，兩者差距高達 28 倍。如果每天轉帳金額只有幾萬美元，因 ACH 延遲一天所損失的利息只有幾美元，遠低於電匯多收的 $13.50 美元手續費。決策核心在於【手續費差額與利息損失的邊際權衡】。</w:t>
      </w:r>
    </w:p>
    <w:p>
      <w:pPr>
        <w:pStyle w:val="ListBullet"/>
        <w:spacing w:before="20" w:after="60" w:line="276" w:lineRule="auto"/>
      </w:pPr>
      <w:r>
        <w:rPr>
          <w:rFonts w:ascii="微軟正黑體" w:hAnsi="微軟正黑體"/>
          <w:b/>
          <w:color w:val="1B365D"/>
          <w:sz w:val="20"/>
        </w:rPr>
        <w:t>盲點二：混淆全年天數（365 天 vs. 360 天 / 250 工作天）</w:t>
      </w:r>
      <w:r>
        <w:rPr>
          <w:rFonts w:ascii="微軟正黑體" w:hAnsi="微軟正黑體"/>
          <w:color w:val="282828"/>
          <w:sz w:val="20"/>
        </w:rPr>
        <w:t>引導技巧：金融市場中短期利率通常依實際天數（Actual/365 或 Actual/360）計息。在零售電商個案中，支票是持續產生的，教學中一律統一使用 365 天進行精確折算。</w:t>
      </w:r>
    </w:p>
    <w:p>
      <w:pPr>
        <w:keepNext/>
        <w:spacing w:before="360" w:after="160"/>
      </w:pPr>
      <w:r>
        <w:rPr>
          <w:rFonts w:ascii="微軟正黑體" w:hAnsi="微軟正黑體"/>
          <w:b/>
          <w:color w:val="1B365D"/>
          <w:sz w:val="28"/>
        </w:rPr>
        <w:t>第五部分：教學解答與詳細數學推導</w:t>
      </w:r>
    </w:p>
    <w:p>
      <w:pPr>
        <w:keepNext/>
        <w:spacing w:before="240" w:after="120"/>
      </w:pPr>
      <w:r>
        <w:rPr>
          <w:rFonts w:ascii="微軟正黑體" w:hAnsi="微軟正黑體"/>
          <w:b/>
          <w:color w:val="2C5E8A"/>
          <w:sz w:val="24"/>
        </w:rPr>
        <w:t>問題一解答：現行系統總收款浮差金額與利息損失</w:t>
      </w:r>
    </w:p>
    <w:p>
      <w:pPr>
        <w:spacing w:before="0" w:after="120" w:line="276" w:lineRule="auto"/>
      </w:pPr>
      <w:r>
        <w:rPr>
          <w:rFonts w:ascii="微軟正黑體" w:hAnsi="微軟正黑體"/>
          <w:b w:val="0"/>
          <w:i w:val="0"/>
          <w:color w:val="222222"/>
          <w:sz w:val="20"/>
        </w:rPr>
        <w:t>1. 每日平均總收款規模（Average Daily Receipts）：</w:t>
        <w:br/>
        <w:t>• 4 個區域中心，每個中心每日收款 $193,000 美元</w:t>
        <w:br/>
        <w:t>$$\text{全公司每日總收款} = 4 \times \$193,000 = \$772,000 \text{ 美元 / 天}$$</w:t>
        <w:br/>
        <w:br/>
        <w:t>2. 每日平均總收款浮差金額（Total Collection Float）：</w:t>
        <w:br/>
        <w:t>現行系統下，支票在途總浮差時間為 6.0 天（郵寄 3.0 天 + 處理 1.5 天 + 清算 1.5 天）：</w:t>
        <w:br/>
        <w:t>$$\text{現行總浮差金額} = \text{每日總收款} \times \text{浮差天數} = \$772,000 \times 6.0 \text{ 天} = \$4,632,000 \text{ 美元}$$</w:t>
        <w:br/>
        <w:t>【經濟意義】：在任何一個營業日，Webb Corporation 都有高達【463.2 萬美元】的現金被卡在郵袋與票據交換系統中無法動用！</w:t>
        <w:br/>
        <w:br/>
        <w:t>3. 全年度潛在利息損失：</w:t>
        <w:br/>
        <w:t>以年化國庫券利率 5.0% 計算：</w:t>
        <w:br/>
        <w:t>$$\text{每年利息損失} = \$4,632,000 \times 5.0\% = \$231,600 \text{ 美元 / 年}$$</w:t>
      </w:r>
    </w:p>
    <w:p>
      <w:pPr>
        <w:keepNext/>
        <w:spacing w:before="240" w:after="120"/>
      </w:pPr>
      <w:r>
        <w:rPr>
          <w:rFonts w:ascii="微軟正黑體" w:hAnsi="微軟正黑體"/>
          <w:b/>
          <w:color w:val="2C5E8A"/>
          <w:sz w:val="24"/>
        </w:rPr>
        <w:t>問題二解答：鎖箱系統釋放現金規模與利息收益</w:t>
      </w:r>
    </w:p>
    <w:p>
      <w:pPr>
        <w:spacing w:before="0" w:after="120" w:line="276" w:lineRule="auto"/>
      </w:pPr>
      <w:r>
        <w:rPr>
          <w:rFonts w:ascii="微軟正黑體" w:hAnsi="微軟正黑體"/>
          <w:b w:val="0"/>
          <w:i w:val="0"/>
          <w:color w:val="222222"/>
          <w:sz w:val="20"/>
        </w:rPr>
        <w:t>1. 浮差時間縮短幅度：</w:t>
        <w:br/>
        <w:t>• 原系統浮差天數 $= 6.0$ 天</w:t>
        <w:br/>
        <w:t>• 鎖箱系統浮差天數 $= 2.5$ 天</w:t>
        <w:br/>
        <w:t>$$\Delta \text{Float Days} = 6.0 \text{ 天} - 2.5 \text{ 天} = 3.5 \text{ 天}$$</w:t>
        <w:br/>
        <w:br/>
        <w:t>2. 永久性釋放之每日可用現金餘額（Available Cash Released）：</w:t>
        <w:br/>
        <w:t>$$\text{釋放現金規模} = \text{每日總收款} \times \Delta \text{Float Days} = \$772,000 \times 3.5 \text{ 天} = \$2,702,000 \text{ 美元}$$</w:t>
        <w:br/>
        <w:t>導入鎖箱後，公司帳戶上每日可自由支配動用的活期資金將【實質暴增 270.2 萬美元】！</w:t>
        <w:br/>
        <w:br/>
        <w:t>3. 每年新增之年化利息收益：</w:t>
        <w:br/>
        <w:t>$$\text{每年新增利息收入} = \$2,702,000 \times 5.0\% = \$135,100 \text{ 美元 / 年}$$</w:t>
        <w:br/>
        <w:t>這代表單單透過優化收款通道，公司每年就能從銀行帳戶多生出 13.5 萬美元的純收益！</w:t>
      </w:r>
    </w:p>
    <w:p>
      <w:pPr>
        <w:keepNext/>
        <w:spacing w:before="240" w:after="120"/>
      </w:pPr>
      <w:r>
        <w:rPr>
          <w:rFonts w:ascii="微軟正黑體" w:hAnsi="微軟正黑體"/>
          <w:b/>
          <w:color w:val="2C5E8A"/>
          <w:sz w:val="24"/>
        </w:rPr>
        <w:t>問題三解答：集中銀行調撥通道評估（Wire vs. ACH）</w:t>
      </w:r>
    </w:p>
    <w:p>
      <w:pPr>
        <w:spacing w:before="0" w:after="120" w:line="276" w:lineRule="auto"/>
      </w:pPr>
      <w:r>
        <w:rPr>
          <w:rFonts w:ascii="微軟正黑體" w:hAnsi="微軟正黑體"/>
          <w:b w:val="0"/>
          <w:i w:val="0"/>
          <w:color w:val="222222"/>
          <w:sz w:val="20"/>
        </w:rPr>
        <w:t>各區域中心每日需將款項歸集至總部（4 個中心，全年 365 天，每年共進行 $4 \times 365 = 1,460$ 筆調撥轉帳）。</w:t>
        <w:br/>
        <w:t>每日每筆調撥金額為 $193,000 美元。</w:t>
        <w:br/>
        <w:t>每日利率 $i = 5.0\% / 365 = 0.000136986$。</w:t>
        <w:br/>
        <w:br/>
        <w:t>1. 方案 A（電匯 Wire Transfer 成本）：</w:t>
        <w:br/>
        <w:t>• 資金當日即時到帳，無在途延遲，利息損失 $= \$0$</w:t>
        <w:br/>
        <w:t>• 每筆手續費 $= \$14.00$</w:t>
        <w:br/>
        <w:t>• 每日手續費總額 $= 4 \text{ 筆} \times \$14.00 = \$56.00 \text{ 美元 / 天}$</w:t>
        <w:br/>
        <w:t>$$\text{電匯全年度總成本} = \$56.00 \times 365 = \$20,440 \text{ 美元 / 年}$$</w:t>
        <w:br/>
        <w:br/>
        <w:t>2. 方案 B（自動清算 ACH 成本）：</w:t>
        <w:br/>
        <w:t>• 每筆手續費僅 $= \$0.50$</w:t>
        <w:br/>
        <w:t>• 每日手續費總額 $= 4 \text{ 筆} \times \$0.50 = \$2.00 \text{ 美元 / 天}$</w:t>
        <w:br/>
        <w:t>• 全年 ACH 手續費總額 $= \$2.00 \times 365 = \$730 \text{ 美元 / 年}$</w:t>
        <w:br/>
        <w:t>• ACH 延遲 1 天之在途資金利息損失：</w:t>
        <w:br/>
        <w:t xml:space="preserve">  每日 4 個中心調撥總額為 $\$772,000$ 美元，延遲 1 天相當於永久性佔用 1 天的浮差：</w:t>
        <w:br/>
        <w:t xml:space="preserve">  $$\text{每日利息損失} = \$772,000 \times \left(\frac{5.0\%}{365}\right) = \$772,000 \times 0.000136986 \approx \$105.7534 \text{ 美元 / 天}$$</w:t>
        <w:br/>
        <w:t xml:space="preserve">  $$\text{全年度利息損失總額} = \$105.7534 \times 365 = \$772,000 \times 5.0\% = \$38,600 \text{ 美元 / 年}$$</w:t>
        <w:br/>
        <w:t>$$\text{ACH 全年度總成本} = \text{手續費 } \$730 + \text{利息損失 } \$38,600 = \$39,330 \text{ 美元 / 年}$$</w:t>
        <w:br/>
        <w:br/>
        <w:t>3. 兩者成本對比與最佳通道決策：</w:t>
      </w:r>
    </w:p>
    <w:tbl>
      <w:tblPr>
        <w:tblW w:type="auto" w:w="0"/>
        <w:jc w:val="center"/>
        <w:tblLook w:firstColumn="1" w:firstRow="1" w:lastColumn="0" w:lastRow="0" w:noHBand="0" w:noVBand="1" w:val="04A0"/>
      </w:tblPr>
      <w:tblGrid>
        <w:gridCol w:w="2412"/>
        <w:gridCol w:w="2412"/>
        <w:gridCol w:w="2412"/>
        <w:gridCol w:w="2412"/>
      </w:tblGrid>
      <w:tr>
        <w:tc>
          <w:tcPr>
            <w:tcW w:type="dxa" w:w="3168"/>
            <w:shd w:fill="1B365D"/>
            <w:tcMar>
              <w:top w:w="120" w:type="dxa"/>
              <w:bottom w:w="120" w:type="dxa"/>
              <w:left w:w="120" w:type="dxa"/>
              <w:right w:w="120" w:type="dxa"/>
            </w:tcMar>
          </w:tcPr>
          <w:p>
            <w:pPr>
              <w:jc w:val="center"/>
            </w:pPr>
            <w:r>
              <w:rPr>
                <w:rFonts w:ascii="微軟正黑體" w:hAnsi="微軟正黑體"/>
                <w:b/>
                <w:color w:val="FFFFFF"/>
                <w:sz w:val="19"/>
              </w:rPr>
              <w:t>成本分析項目</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 A：電匯 (Wire Transfer)</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 B：自動清算 (ACH)</w:t>
            </w:r>
          </w:p>
        </w:tc>
        <w:tc>
          <w:tcPr>
            <w:tcW w:type="dxa" w:w="2592"/>
            <w:shd w:fill="1B365D"/>
            <w:tcMar>
              <w:top w:w="120" w:type="dxa"/>
              <w:bottom w:w="120" w:type="dxa"/>
              <w:left w:w="120" w:type="dxa"/>
              <w:right w:w="120" w:type="dxa"/>
            </w:tcMar>
          </w:tcPr>
          <w:p>
            <w:pPr>
              <w:jc w:val="center"/>
            </w:pPr>
            <w:r>
              <w:rPr>
                <w:rFonts w:ascii="微軟正黑體" w:hAnsi="微軟正黑體"/>
                <w:b/>
                <w:color w:val="FFFFFF"/>
                <w:sz w:val="19"/>
              </w:rPr>
              <w:t>方案優劣比較 (Wire - ACH)</w:t>
            </w:r>
          </w:p>
        </w:tc>
      </w:tr>
      <w:tr>
        <w:tc>
          <w:tcPr>
            <w:tcW w:type="dxa" w:w="3168"/>
            <w:shd w:fill="FFFFFF"/>
            <w:tcMar>
              <w:top w:w="100" w:type="dxa"/>
              <w:bottom w:w="100" w:type="dxa"/>
              <w:left w:w="120" w:type="dxa"/>
              <w:right w:w="120" w:type="dxa"/>
            </w:tcMar>
          </w:tcPr>
          <w:p>
            <w:pPr>
              <w:jc w:val="center"/>
            </w:pPr>
            <w:r>
              <w:rPr>
                <w:rFonts w:ascii="微軟正黑體" w:hAnsi="微軟正黑體"/>
                <w:color w:val="1E1E1E"/>
                <w:sz w:val="18"/>
              </w:rPr>
              <w:t>每筆轉帳手續費</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$14.00 美元</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$0.50 美元</w:t>
            </w:r>
          </w:p>
        </w:tc>
        <w:tc>
          <w:tcPr>
            <w:tcW w:type="dxa" w:w="2592"/>
            <w:shd w:fill="FFFFFF"/>
            <w:tcMar>
              <w:top w:w="100" w:type="dxa"/>
              <w:bottom w:w="100" w:type="dxa"/>
              <w:left w:w="120" w:type="dxa"/>
              <w:right w:w="120" w:type="dxa"/>
            </w:tcMar>
          </w:tcPr>
          <w:p>
            <w:pPr>
              <w:jc w:val="right"/>
            </w:pPr>
            <w:r>
              <w:rPr>
                <w:rFonts w:ascii="微軟正黑體" w:hAnsi="微軟正黑體"/>
                <w:color w:val="1E1E1E"/>
                <w:sz w:val="18"/>
              </w:rPr>
              <w:t>+$13.50 (Wire 較貴)</w:t>
            </w:r>
          </w:p>
        </w:tc>
      </w:tr>
      <w:tr>
        <w:tc>
          <w:tcPr>
            <w:tcW w:type="dxa" w:w="3168"/>
            <w:shd w:fill="F8FAFC"/>
            <w:tcMar>
              <w:top w:w="100" w:type="dxa"/>
              <w:bottom w:w="100" w:type="dxa"/>
              <w:left w:w="120" w:type="dxa"/>
              <w:right w:w="120" w:type="dxa"/>
            </w:tcMar>
          </w:tcPr>
          <w:p>
            <w:pPr>
              <w:jc w:val="left"/>
            </w:pPr>
            <w:r>
              <w:rPr>
                <w:rFonts w:ascii="微軟正黑體" w:hAnsi="微軟正黑體"/>
                <w:color w:val="1E1E1E"/>
                <w:sz w:val="18"/>
              </w:rPr>
              <w:t>全年轉帳手續費總額 (1,460 筆)</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$20,440 美元</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$730 美元</w:t>
            </w:r>
          </w:p>
        </w:tc>
        <w:tc>
          <w:tcPr>
            <w:tcW w:type="dxa" w:w="2592"/>
            <w:shd w:fill="F8FAFC"/>
            <w:tcMar>
              <w:top w:w="100" w:type="dxa"/>
              <w:bottom w:w="100" w:type="dxa"/>
              <w:left w:w="120" w:type="dxa"/>
              <w:right w:w="120" w:type="dxa"/>
            </w:tcMar>
          </w:tcPr>
          <w:p>
            <w:pPr>
              <w:jc w:val="right"/>
            </w:pPr>
            <w:r>
              <w:rPr>
                <w:rFonts w:ascii="微軟正黑體" w:hAnsi="微軟正黑體"/>
                <w:color w:val="1E1E1E"/>
                <w:sz w:val="18"/>
              </w:rPr>
              <w:t>+$19,710 美元</w:t>
            </w:r>
          </w:p>
        </w:tc>
      </w:tr>
      <w:tr>
        <w:tc>
          <w:tcPr>
            <w:tcW w:type="dxa" w:w="3168"/>
            <w:shd w:fill="FFFFFF"/>
            <w:tcMar>
              <w:top w:w="100" w:type="dxa"/>
              <w:bottom w:w="100" w:type="dxa"/>
              <w:left w:w="120" w:type="dxa"/>
              <w:right w:w="120" w:type="dxa"/>
            </w:tcMar>
          </w:tcPr>
          <w:p>
            <w:pPr>
              <w:jc w:val="center"/>
            </w:pPr>
            <w:r>
              <w:rPr>
                <w:rFonts w:ascii="微軟正黑體" w:hAnsi="微軟正黑體"/>
                <w:color w:val="1E1E1E"/>
                <w:sz w:val="18"/>
              </w:rPr>
              <w:t>在途延遲天數</w:t>
            </w:r>
          </w:p>
        </w:tc>
        <w:tc>
          <w:tcPr>
            <w:tcW w:type="dxa" w:w="2160"/>
            <w:shd w:fill="FFFFFF"/>
            <w:tcMar>
              <w:top w:w="100" w:type="dxa"/>
              <w:bottom w:w="100" w:type="dxa"/>
              <w:left w:w="120" w:type="dxa"/>
              <w:right w:w="120" w:type="dxa"/>
            </w:tcMar>
          </w:tcPr>
          <w:p>
            <w:pPr>
              <w:jc w:val="left"/>
            </w:pPr>
            <w:r>
              <w:rPr>
                <w:rFonts w:ascii="微軟正黑體" w:hAnsi="微軟正黑體"/>
                <w:color w:val="1E1E1E"/>
                <w:sz w:val="18"/>
              </w:rPr>
              <w:t>0 天 (即時到帳)</w:t>
            </w:r>
          </w:p>
        </w:tc>
        <w:tc>
          <w:tcPr>
            <w:tcW w:type="dxa" w:w="2160"/>
            <w:shd w:fill="FFFFFF"/>
            <w:tcMar>
              <w:top w:w="100" w:type="dxa"/>
              <w:bottom w:w="100" w:type="dxa"/>
              <w:left w:w="120" w:type="dxa"/>
              <w:right w:w="120" w:type="dxa"/>
            </w:tcMar>
          </w:tcPr>
          <w:p>
            <w:pPr>
              <w:jc w:val="left"/>
            </w:pPr>
            <w:r>
              <w:rPr>
                <w:rFonts w:ascii="微軟正黑體" w:hAnsi="微軟正黑體"/>
                <w:color w:val="1E1E1E"/>
                <w:sz w:val="18"/>
              </w:rPr>
              <w:t>1.0 天 (次日到帳)</w:t>
            </w:r>
          </w:p>
        </w:tc>
        <w:tc>
          <w:tcPr>
            <w:tcW w:type="dxa" w:w="2592"/>
            <w:shd w:fill="FFFFFF"/>
            <w:tcMar>
              <w:top w:w="100" w:type="dxa"/>
              <w:bottom w:w="100" w:type="dxa"/>
              <w:left w:w="120" w:type="dxa"/>
              <w:right w:w="120" w:type="dxa"/>
            </w:tcMar>
          </w:tcPr>
          <w:p>
            <w:pPr>
              <w:jc w:val="left"/>
            </w:pPr>
            <w:r>
              <w:rPr>
                <w:rFonts w:ascii="微軟正黑體" w:hAnsi="微軟正黑體"/>
                <w:color w:val="1E1E1E"/>
                <w:sz w:val="18"/>
              </w:rPr>
              <w:t>Wire 節省 1 天</w:t>
            </w:r>
          </w:p>
        </w:tc>
      </w:tr>
      <w:tr>
        <w:tc>
          <w:tcPr>
            <w:tcW w:type="dxa" w:w="3168"/>
            <w:shd w:fill="F8FAFC"/>
            <w:tcMar>
              <w:top w:w="100" w:type="dxa"/>
              <w:bottom w:w="100" w:type="dxa"/>
              <w:left w:w="120" w:type="dxa"/>
              <w:right w:w="120" w:type="dxa"/>
            </w:tcMar>
          </w:tcPr>
          <w:p>
            <w:pPr>
              <w:jc w:val="left"/>
            </w:pPr>
            <w:r>
              <w:rPr>
                <w:rFonts w:ascii="微軟正黑體" w:hAnsi="微軟正黑體"/>
                <w:color w:val="1E1E1E"/>
                <w:sz w:val="18"/>
              </w:rPr>
              <w:t>全年延遲利息損失 (Opportunity Cost)</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$0 美元</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$38,600 美元</w:t>
            </w:r>
          </w:p>
        </w:tc>
        <w:tc>
          <w:tcPr>
            <w:tcW w:type="dxa" w:w="2592"/>
            <w:shd w:fill="F8FAFC"/>
            <w:tcMar>
              <w:top w:w="100" w:type="dxa"/>
              <w:bottom w:w="100" w:type="dxa"/>
              <w:left w:w="120" w:type="dxa"/>
              <w:right w:w="120" w:type="dxa"/>
            </w:tcMar>
          </w:tcPr>
          <w:p>
            <w:pPr>
              <w:jc w:val="right"/>
            </w:pPr>
            <w:r>
              <w:rPr>
                <w:rFonts w:ascii="微軟正黑體" w:hAnsi="微軟正黑體"/>
                <w:color w:val="1E1E1E"/>
                <w:sz w:val="18"/>
              </w:rPr>
              <w:t>-$38,600 美元 (Wire 完勝)</w:t>
            </w:r>
          </w:p>
        </w:tc>
      </w:tr>
      <w:tr>
        <w:tc>
          <w:tcPr>
            <w:tcW w:type="dxa" w:w="3168"/>
            <w:shd w:fill="FFFFFF"/>
            <w:tcMar>
              <w:top w:w="100" w:type="dxa"/>
              <w:bottom w:w="100" w:type="dxa"/>
              <w:left w:w="120" w:type="dxa"/>
              <w:right w:w="120" w:type="dxa"/>
            </w:tcMar>
          </w:tcPr>
          <w:p>
            <w:pPr>
              <w:jc w:val="left"/>
            </w:pPr>
            <w:r>
              <w:rPr>
                <w:rFonts w:ascii="微軟正黑體" w:hAnsi="微軟正黑體"/>
                <w:color w:val="1E1E1E"/>
                <w:sz w:val="18"/>
              </w:rPr>
              <w:t>【全年度總成本合計】</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$20,440 美元</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$39,330 美元</w:t>
            </w:r>
          </w:p>
        </w:tc>
        <w:tc>
          <w:tcPr>
            <w:tcW w:type="dxa" w:w="2592"/>
            <w:shd w:fill="FFFFFF"/>
            <w:tcMar>
              <w:top w:w="100" w:type="dxa"/>
              <w:bottom w:w="100" w:type="dxa"/>
              <w:left w:w="120" w:type="dxa"/>
              <w:right w:w="120" w:type="dxa"/>
            </w:tcMar>
          </w:tcPr>
          <w:p>
            <w:pPr>
              <w:jc w:val="right"/>
            </w:pPr>
            <w:r>
              <w:rPr>
                <w:rFonts w:ascii="微軟正黑體" w:hAnsi="微軟正黑體"/>
                <w:color w:val="1E1E1E"/>
                <w:sz w:val="18"/>
              </w:rPr>
              <w:t>【Wire 便宜 $18,890 美元！】</w:t>
            </w:r>
          </w:p>
        </w:tc>
      </w:tr>
    </w:tbl>
    <w:p>
      <w:pPr>
        <w:spacing w:before="0" w:after="120" w:line="276" w:lineRule="auto"/>
      </w:pPr>
      <w:r>
        <w:rPr>
          <w:rFonts w:ascii="微軟正黑體" w:hAnsi="微軟正黑體"/>
          <w:b w:val="0"/>
          <w:i w:val="0"/>
          <w:color w:val="222222"/>
          <w:sz w:val="20"/>
        </w:rPr>
        <w:t>決策結論：</w:t>
        <w:br/>
        <w:t>Webb Corporation 【應該選擇方案 A（電匯 Wire Transfer）】！</w:t>
        <w:br/>
        <w:t>原因在於：每個區域中心每日的轉帳金額高達 193,000 美元，延遲 1 天的利息損失高達 $105.75 美元，遠遠超過了電匯多收的 $13.50 美元手續費差額！採用電匯每年能為公司淨省下【18,890 美元】（$\$39,330 - \$20,440 = \$18,890$）。</w:t>
      </w:r>
    </w:p>
    <w:p>
      <w:pPr>
        <w:keepNext/>
        <w:spacing w:before="240" w:after="120"/>
      </w:pPr>
      <w:r>
        <w:rPr>
          <w:rFonts w:ascii="微軟正黑體" w:hAnsi="微軟正黑體"/>
          <w:b/>
          <w:color w:val="2C5E8A"/>
          <w:sz w:val="24"/>
        </w:rPr>
        <w:t>問題四解答：轉帳金額無差異點（Indifference Point）精算</w:t>
      </w:r>
    </w:p>
    <w:p>
      <w:pPr>
        <w:spacing w:before="0" w:after="120" w:line="276" w:lineRule="auto"/>
      </w:pPr>
      <w:r>
        <w:rPr>
          <w:rFonts w:ascii="微軟正黑體" w:hAnsi="微軟正黑體"/>
          <w:b w:val="0"/>
          <w:i w:val="0"/>
          <w:color w:val="222222"/>
          <w:sz w:val="20"/>
        </w:rPr>
        <w:t>1. 無差異點數學公式推導：</w:t>
        <w:br/>
        <w:t>令 $T^*$ 為單筆轉帳金額，使電匯總成本等於 ACH 總成本：</w:t>
        <w:br/>
        <w:t>$$\text{Wire Cost} = \text{ACH Cost}$$</w:t>
        <w:br/>
        <w:t>$$\text{Wire Fee} = \text{ACH Fee} + T^* \times i \times 1 \text{ 天}$$</w:t>
        <w:br/>
        <w:t>$$T^* = \frac{\text{Wire Fee} - \text{ACH Fee}}{i}$$</w:t>
        <w:br/>
        <w:br/>
        <w:t>2. 數值代入求解：</w:t>
        <w:br/>
        <w:t>• 手續費差額 $= \$14.00 - \$0.50 = \$13.50$</w:t>
        <w:br/>
        <w:t>• 每日利率 $i = 5.0\% / 365 \approx 0.0001369863$</w:t>
        <w:br/>
        <w:t>$$T^* = \frac{\$13.50}{0.0001369863} = \frac{\$13.50 \times 365}{0.05} = \frac{\$4,927.50}{0.05} = \$98,550 \text{ 美元}$$</w:t>
        <w:br/>
        <w:br/>
        <w:t>3. 財務決策準則應用：</w:t>
        <w:br/>
        <w:t>• 當單筆每日調撥金額【大於 $98,550 美元】時：資金延遲利息損失超過手續費差額，【應採用電匯（Wire）】；</w:t>
        <w:br/>
        <w:t>• 當單筆每日調撥金額【小於 $98,550 美元】時：利息損失微不足道，手續費佔主導，【應採用自動清算（ACH）】；</w:t>
        <w:br/>
        <w:t>• 由於 Webb 每個中心每日轉帳額為 $193,000 美元，遠高於無差異點 $98,550 美元，再次證實採用電匯是絕對正確的決策！</w:t>
      </w:r>
    </w:p>
    <w:p>
      <w:pPr>
        <w:keepNext/>
        <w:spacing w:before="240" w:after="120"/>
      </w:pPr>
      <w:r>
        <w:rPr>
          <w:rFonts w:ascii="微軟正黑體" w:hAnsi="微軟正黑體"/>
          <w:b/>
          <w:color w:val="2C5E8A"/>
          <w:sz w:val="24"/>
        </w:rPr>
        <w:t>問題五解答：現金管理倫理與商業道德深度剖析</w:t>
      </w:r>
    </w:p>
    <w:p>
      <w:pPr>
        <w:spacing w:before="0" w:after="120" w:line="276" w:lineRule="auto"/>
      </w:pPr>
      <w:r>
        <w:rPr>
          <w:rFonts w:ascii="微軟正黑體" w:hAnsi="微軟正黑體"/>
          <w:b w:val="0"/>
          <w:i w:val="0"/>
          <w:color w:val="222222"/>
          <w:sz w:val="20"/>
        </w:rPr>
        <w:t>在傳統現金管理中，部分企業刻意採取『延遲付款浮差策略』（Remote Disbursement），例如位於紐約的企業刻意在阿拉斯加或懷俄明州的小鎮銀行設立付款帳戶向供應商簽發支票，利用漫長的郵政與清算時差多賺幾天利息。</w:t>
        <w:br/>
        <w:br/>
        <w:t>倫理爭議與負面代價剖析：</w:t>
      </w:r>
    </w:p>
    <w:p>
      <w:pPr>
        <w:pStyle w:val="ListBullet"/>
        <w:spacing w:before="20" w:after="60" w:line="276" w:lineRule="auto"/>
      </w:pPr>
      <w:r>
        <w:rPr>
          <w:rFonts w:ascii="微軟正黑體" w:hAnsi="微軟正黑體"/>
          <w:b/>
          <w:color w:val="1B365D"/>
          <w:sz w:val="20"/>
        </w:rPr>
        <w:t>1. 破壞供應鏈信任與商業夥伴關係：</w:t>
      </w:r>
      <w:r>
        <w:rPr>
          <w:rFonts w:ascii="微軟正黑體" w:hAnsi="微軟正黑體"/>
          <w:color w:val="282828"/>
          <w:sz w:val="20"/>
        </w:rPr>
        <w:t>刻意製造付款浮差本質上是把自己的利息收益建立在供應商的資金痛苦之上。供應商一旦發現，會將其視為惡意拖欠，進而在未來的報價中提高原物料價格、取消現金折扣或降低交貨優先級，最終得不償失。</w:t>
      </w:r>
    </w:p>
    <w:p>
      <w:pPr>
        <w:pStyle w:val="ListBullet"/>
        <w:spacing w:before="20" w:after="60" w:line="276" w:lineRule="auto"/>
      </w:pPr>
      <w:r>
        <w:rPr>
          <w:rFonts w:ascii="微軟正黑體" w:hAnsi="微軟正黑體"/>
          <w:b/>
          <w:color w:val="1B365D"/>
          <w:sz w:val="20"/>
        </w:rPr>
        <w:t>2. 法規防堵與科技變革：21 世紀支票清算法案（Check 21 Act）：</w:t>
      </w:r>
      <w:r>
        <w:rPr>
          <w:rFonts w:ascii="微軟正黑體" w:hAnsi="微軟正黑體"/>
          <w:color w:val="282828"/>
          <w:sz w:val="20"/>
        </w:rPr>
        <w:t>美國國會早在 2004 年即通過《Check 21 Act》，允許銀行透過電子支票影像（Substitute Checks）進行即日清算，實體支票郵寄清算的漏洞已被法規與科技徹底封堵。</w:t>
      </w:r>
    </w:p>
    <w:p>
      <w:pPr>
        <w:pStyle w:val="ListBullet"/>
        <w:spacing w:before="20" w:after="60" w:line="276" w:lineRule="auto"/>
      </w:pPr>
      <w:r>
        <w:rPr>
          <w:rFonts w:ascii="微軟正黑體" w:hAnsi="微軟正黑體"/>
          <w:b/>
          <w:color w:val="1B365D"/>
          <w:sz w:val="20"/>
        </w:rPr>
        <w:t>3. 現代 ESG 與財務永續性原則：</w:t>
      </w:r>
      <w:r>
        <w:rPr>
          <w:rFonts w:ascii="微軟正黑體" w:hAnsi="微軟正黑體"/>
          <w:color w:val="282828"/>
          <w:sz w:val="20"/>
        </w:rPr>
        <w:t>現代企業財務的核心價值應聚焦於『透過提升內部營運效率來加速收款』，而非『透過鑽制度漏洞來盤剝夥伴』。透明、及時且可信賴的支付政策才是建立世界級供應鏈競爭力的正道。</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財務管理課程教學教材 | 嚴謹推導．完整個案．教學解答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企業財務學精選個案教學指引與詳解 | 財務個案5：Webb Corporation 的現金管理與集中銀行系統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軟正黑體" w:hAnsi="微軟正黑體"/>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軟正黑體" w:hAnsi="微軟正黑體"/>
      <w:color w:val="8C8C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