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微軟正黑體" w:hAnsi="微軟正黑體"/>
          <w:b/>
          <w:color w:val="1B365D"/>
          <w:sz w:val="22"/>
        </w:rPr>
        <w:t>【個案與教學指引．詳解】</w:t>
      </w:r>
    </w:p>
    <w:p>
      <w:pPr>
        <w:spacing w:before="40" w:after="80"/>
        <w:jc w:val="left"/>
      </w:pPr>
      <w:r>
        <w:rPr>
          <w:rFonts w:ascii="微軟正黑體" w:hAnsi="微軟正黑體"/>
          <w:b/>
          <w:color w:val="0F4C81"/>
          <w:sz w:val="40"/>
        </w:rPr>
        <w:t>財務個案 6：Howlett Industries 的信用政策評估與應收帳款管理</w:t>
      </w:r>
    </w:p>
    <w:p>
      <w:pPr>
        <w:spacing w:before="40" w:after="320"/>
        <w:jc w:val="left"/>
      </w:pPr>
      <w:r>
        <w:rPr>
          <w:rFonts w:ascii="微軟正黑體" w:hAnsi="微軟正黑體"/>
          <w:color w:val="5A6B7C"/>
          <w:sz w:val="23"/>
        </w:rPr>
        <w:t>Credit Policy at Howlett Industries | 商業信用決策 (Credit Policy)、邊際增量損益分析 (Incremental Analysis)、應收帳款資金成本與壞帳風險權衡</w:t>
      </w:r>
    </w:p>
    <w:tbl>
      <w:tblPr>
        <w:tblW w:type="auto" w:w="0"/>
        <w:jc w:val="center"/>
        <w:tblLook w:firstColumn="1" w:firstRow="1" w:lastColumn="0" w:lastRow="0" w:noHBand="0" w:noVBand="1" w:val="04A0"/>
      </w:tblPr>
      <w:tblGrid>
        <w:gridCol w:w="9648"/>
      </w:tblGrid>
      <w:tr>
        <w:tc>
          <w:tcPr>
            <w:tcW w:type="dxa" w:w="9648"/>
            <w:shd w:fill="1B365D"/>
          </w:tcPr>
          <w:p>
            <w:pPr>
              <w:spacing w:before="20" w:after="20"/>
            </w:pPr>
            <w:r>
              <w:rPr>
                <w:sz w:val="4"/>
              </w:rPr>
            </w:r>
          </w:p>
        </w:tc>
      </w:tr>
    </w:tbl>
    <w:p>
      <w:pPr>
        <w:keepNext/>
        <w:spacing w:before="360" w:after="160"/>
      </w:pPr>
      <w:r>
        <w:rPr>
          <w:rFonts w:ascii="微軟正黑體" w:hAnsi="微軟正黑體"/>
          <w:b/>
          <w:color w:val="1B365D"/>
          <w:sz w:val="28"/>
        </w:rPr>
        <w:t>第一部分：個案完整背景與情境描述</w:t>
      </w:r>
    </w:p>
    <w:p>
      <w:pPr>
        <w:spacing w:before="0" w:after="120" w:line="276" w:lineRule="auto"/>
      </w:pPr>
      <w:r>
        <w:rPr>
          <w:rFonts w:ascii="微軟正黑體" w:hAnsi="微軟正黑體"/>
          <w:b w:val="0"/>
          <w:i w:val="0"/>
          <w:color w:val="222222"/>
          <w:sz w:val="20"/>
        </w:rPr>
        <w:t>豪利特工業公司（Howlett Industries）是一家總部位於美國俄亥俄州的知名商業辦公設備製造商，專門生產各類中高階自動化碎紙機、商用重型裝訂機、智能文件檔案存儲系統以及辦公室環保耗材。公司產品憑藉耐用度高與故障率低，在大型金融機構、政府機關與跨國企業中享有極佳口碑。</w:t>
      </w:r>
    </w:p>
    <w:p>
      <w:pPr>
        <w:spacing w:before="0" w:after="120" w:line="276" w:lineRule="auto"/>
      </w:pPr>
      <w:r>
        <w:rPr>
          <w:rFonts w:ascii="微軟正黑體" w:hAnsi="微軟正黑體"/>
          <w:b w:val="0"/>
          <w:i w:val="0"/>
          <w:color w:val="222222"/>
          <w:sz w:val="20"/>
        </w:rPr>
        <w:t>然而，在過去三年間，Howlett Industries 的營運陷入了嚴重的成長瓶頸——全年度銷售額始終在 1.2 億美元左右原地踏步，市佔率甚至開始被幾家新興的競爭對手蠶食。在最近召開的年度策略檢討會議上，業務與行銷副總裁情緒激動地將矛頭指向財務部：</w:t>
        <w:br/>
        <w:t>『我們的產品質量領先全行業，但我們的信用政策（Credit Policy）簡直還停留在石器時代！財務部實行的審查標準嚴苛到了不近人情的地步。我們的信用條款是死板的「Net 30」，而且任何信用評分未達到頂級 A 級標準的中小企業客戶，財務部一律要求現金預付或貨到付款。競爭對手早就給客戶 45 天甚至 60 天的賒銷付款期，我們硬生生把幾千萬美元的訂單白白送給了對手！』</w:t>
      </w:r>
    </w:p>
    <w:p>
      <w:pPr>
        <w:spacing w:before="0" w:after="120" w:line="276" w:lineRule="auto"/>
      </w:pPr>
      <w:r>
        <w:rPr>
          <w:rFonts w:ascii="微軟正黑體" w:hAnsi="微軟正黑體"/>
          <w:b w:val="0"/>
          <w:i w:val="0"/>
          <w:color w:val="222222"/>
          <w:sz w:val="20"/>
        </w:rPr>
        <w:t>面對業務部門的強烈反彈，財務長與司庫（Treasurer）則保持了高度的審慎：</w:t>
        <w:br/>
        <w:t>『放寬信用政策確實能拉動銷量，但天底下沒有免費的午餐！給客戶更長的付款期，意味著巨額資金被卡在應收帳款（Accounts Receivable）中動彈不得，公司必須承擔高昂的資金機會成本（Carrying Costs）；更危險的是，如果降低信用審查門檻，吸納那些財務體質脆弱的二三線客戶，壞帳損失率（Default Rate）必然會劇烈飆升。如果增加的銷售毛利連壞帳損失和利息支出都無法覆蓋，放寬信用政策就是在親手毀滅公司價值！』</w:t>
      </w:r>
    </w:p>
    <w:p>
      <w:pPr>
        <w:spacing w:before="0" w:after="120" w:line="276" w:lineRule="auto"/>
      </w:pPr>
      <w:r>
        <w:rPr>
          <w:rFonts w:ascii="微軟正黑體" w:hAnsi="微軟正黑體"/>
          <w:b w:val="0"/>
          <w:i w:val="0"/>
          <w:color w:val="222222"/>
          <w:sz w:val="20"/>
        </w:rPr>
        <w:t>為了以數據說話、化解業務與財務部門的長年僵局，司庫帶領財務分析團隊展開了深入的專案研究。團隊針對現行信用政策以及市場競爭態勢，擬定了三個具體的備選放寬方案，準備透過嚴謹的【邊際增量分析（Incremental Analysis）】與【淨現值模型（NPV）】，量化評估每一種政策轉換對公司股東價值的真實影響。</w:t>
      </w:r>
    </w:p>
    <w:p>
      <w:pPr>
        <w:keepNext/>
        <w:spacing w:before="360" w:after="160"/>
      </w:pPr>
      <w:r>
        <w:rPr>
          <w:rFonts w:ascii="微軟正黑體" w:hAnsi="微軟正黑體"/>
          <w:b/>
          <w:color w:val="1B365D"/>
          <w:sz w:val="28"/>
        </w:rPr>
        <w:t>第二部分：核心財務數據與參數彙整</w:t>
      </w:r>
    </w:p>
    <w:p>
      <w:pPr>
        <w:spacing w:before="0" w:after="120" w:line="276" w:lineRule="auto"/>
      </w:pPr>
      <w:r>
        <w:rPr>
          <w:rFonts w:ascii="微軟正黑體" w:hAnsi="微軟正黑體"/>
          <w:b w:val="0"/>
          <w:i w:val="0"/>
          <w:color w:val="222222"/>
          <w:sz w:val="20"/>
        </w:rPr>
        <w:t>經過跨部門聯合調研，財務分析團隊整理出以下基準財務參數與四種政策方案的關鍵預測數據：</w:t>
        <w:br/>
        <w:t>• 變動成本率（Variable Cost Ratio, v）：70.0%（即每產生 1 美元營收，變動生產成本為 0.70 美元，邊際貢獻率為 30.0%）。</w:t>
        <w:br/>
        <w:t>• 應收帳款資金機會成本（Required Return / Carrying Cost Rate, R）：8.00% 年利率（反映公司短期銀行借款利率與流動性機會成本）。</w:t>
        <w:br/>
        <w:t>• 全年天數按 365 天計算（日利率 $R_{daily} = 8.0\% / 365$）。</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2304"/>
            <w:shd w:fill="1B365D"/>
            <w:tcMar>
              <w:top w:w="120" w:type="dxa"/>
              <w:bottom w:w="120" w:type="dxa"/>
              <w:left w:w="120" w:type="dxa"/>
              <w:right w:w="120" w:type="dxa"/>
            </w:tcMar>
          </w:tcPr>
          <w:p>
            <w:pPr>
              <w:jc w:val="center"/>
            </w:pPr>
            <w:r>
              <w:rPr>
                <w:rFonts w:ascii="微軟正黑體" w:hAnsi="微軟正黑體"/>
                <w:b/>
                <w:color w:val="FFFFFF"/>
                <w:sz w:val="19"/>
              </w:rPr>
              <w:t>信用政策方案</w:t>
            </w:r>
          </w:p>
        </w:tc>
        <w:tc>
          <w:tcPr>
            <w:tcW w:type="dxa" w:w="1584"/>
            <w:shd w:fill="1B365D"/>
            <w:tcMar>
              <w:top w:w="120" w:type="dxa"/>
              <w:bottom w:w="120" w:type="dxa"/>
              <w:left w:w="120" w:type="dxa"/>
              <w:right w:w="120" w:type="dxa"/>
            </w:tcMar>
          </w:tcPr>
          <w:p>
            <w:pPr>
              <w:jc w:val="center"/>
            </w:pPr>
            <w:r>
              <w:rPr>
                <w:rFonts w:ascii="微軟正黑體" w:hAnsi="微軟正黑體"/>
                <w:b/>
                <w:color w:val="FFFFFF"/>
                <w:sz w:val="19"/>
              </w:rPr>
              <w:t>信用期限 (Terms)</w:t>
            </w:r>
          </w:p>
        </w:tc>
        <w:tc>
          <w:tcPr>
            <w:tcW w:type="dxa" w:w="1584"/>
            <w:shd w:fill="1B365D"/>
            <w:tcMar>
              <w:top w:w="120" w:type="dxa"/>
              <w:bottom w:w="120" w:type="dxa"/>
              <w:left w:w="120" w:type="dxa"/>
              <w:right w:w="120" w:type="dxa"/>
            </w:tcMar>
          </w:tcPr>
          <w:p>
            <w:pPr>
              <w:jc w:val="center"/>
            </w:pPr>
            <w:r>
              <w:rPr>
                <w:rFonts w:ascii="微軟正黑體" w:hAnsi="微軟正黑體"/>
                <w:b/>
                <w:color w:val="FFFFFF"/>
                <w:sz w:val="19"/>
              </w:rPr>
              <w:t>平均收款期 (DSO)</w:t>
            </w:r>
          </w:p>
        </w:tc>
        <w:tc>
          <w:tcPr>
            <w:tcW w:type="dxa" w:w="2304"/>
            <w:shd w:fill="1B365D"/>
            <w:tcMar>
              <w:top w:w="120" w:type="dxa"/>
              <w:bottom w:w="120" w:type="dxa"/>
              <w:left w:w="120" w:type="dxa"/>
              <w:right w:w="120" w:type="dxa"/>
            </w:tcMar>
          </w:tcPr>
          <w:p>
            <w:pPr>
              <w:jc w:val="center"/>
            </w:pPr>
            <w:r>
              <w:rPr>
                <w:rFonts w:ascii="微軟正黑體" w:hAnsi="微軟正黑體"/>
                <w:b/>
                <w:color w:val="FFFFFF"/>
                <w:sz w:val="19"/>
              </w:rPr>
              <w:t>預期年銷售額</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預期壞帳損失率</w:t>
            </w:r>
          </w:p>
        </w:tc>
        <w:tc>
          <w:tcPr>
            <w:tcW w:type="dxa" w:w="3024"/>
            <w:shd w:fill="1B365D"/>
            <w:tcMar>
              <w:top w:w="120" w:type="dxa"/>
              <w:bottom w:w="120" w:type="dxa"/>
              <w:left w:w="120" w:type="dxa"/>
              <w:right w:w="120" w:type="dxa"/>
            </w:tcMar>
          </w:tcPr>
          <w:p>
            <w:pPr>
              <w:jc w:val="center"/>
            </w:pPr>
            <w:r>
              <w:rPr>
                <w:rFonts w:ascii="微軟正黑體" w:hAnsi="微軟正黑體"/>
                <w:b/>
                <w:color w:val="FFFFFF"/>
                <w:sz w:val="19"/>
              </w:rPr>
              <w:t>政策特徵說明</w:t>
            </w:r>
          </w:p>
        </w:tc>
      </w:tr>
      <w:tr>
        <w:tc>
          <w:tcPr>
            <w:tcW w:type="dxa" w:w="2304"/>
            <w:shd w:fill="FFFFFF"/>
            <w:tcMar>
              <w:top w:w="100" w:type="dxa"/>
              <w:bottom w:w="100" w:type="dxa"/>
              <w:left w:w="120" w:type="dxa"/>
              <w:right w:w="120" w:type="dxa"/>
            </w:tcMar>
          </w:tcPr>
          <w:p>
            <w:pPr>
              <w:jc w:val="left"/>
            </w:pPr>
            <w:r>
              <w:rPr>
                <w:rFonts w:ascii="微軟正黑體" w:hAnsi="微軟正黑體"/>
                <w:color w:val="1E1E1E"/>
                <w:sz w:val="18"/>
              </w:rPr>
              <w:t>現行政策 (Current)</w:t>
            </w:r>
          </w:p>
        </w:tc>
        <w:tc>
          <w:tcPr>
            <w:tcW w:type="dxa" w:w="1584"/>
            <w:shd w:fill="FFFFFF"/>
            <w:tcMar>
              <w:top w:w="100" w:type="dxa"/>
              <w:bottom w:w="100" w:type="dxa"/>
              <w:left w:w="120" w:type="dxa"/>
              <w:right w:w="120" w:type="dxa"/>
            </w:tcMar>
          </w:tcPr>
          <w:p>
            <w:pPr>
              <w:jc w:val="center"/>
            </w:pPr>
            <w:r>
              <w:rPr>
                <w:rFonts w:ascii="微軟正黑體" w:hAnsi="微軟正黑體"/>
                <w:color w:val="1E1E1E"/>
                <w:sz w:val="18"/>
              </w:rPr>
              <w:t>Net 30</w:t>
            </w:r>
          </w:p>
        </w:tc>
        <w:tc>
          <w:tcPr>
            <w:tcW w:type="dxa" w:w="1584"/>
            <w:shd w:fill="FFFFFF"/>
            <w:tcMar>
              <w:top w:w="100" w:type="dxa"/>
              <w:bottom w:w="100" w:type="dxa"/>
              <w:left w:w="120" w:type="dxa"/>
              <w:right w:w="120" w:type="dxa"/>
            </w:tcMar>
          </w:tcPr>
          <w:p>
            <w:pPr>
              <w:jc w:val="center"/>
            </w:pPr>
            <w:r>
              <w:rPr>
                <w:rFonts w:ascii="微軟正黑體" w:hAnsi="微軟正黑體"/>
                <w:color w:val="1E1E1E"/>
                <w:sz w:val="18"/>
              </w:rPr>
              <w:t>30 天</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$120,000,000 ($120M)</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1.50%</w:t>
            </w:r>
          </w:p>
        </w:tc>
        <w:tc>
          <w:tcPr>
            <w:tcW w:type="dxa" w:w="3024"/>
            <w:shd w:fill="FFFFFF"/>
            <w:tcMar>
              <w:top w:w="100" w:type="dxa"/>
              <w:bottom w:w="100" w:type="dxa"/>
              <w:left w:w="120" w:type="dxa"/>
              <w:right w:w="120" w:type="dxa"/>
            </w:tcMar>
          </w:tcPr>
          <w:p>
            <w:pPr>
              <w:jc w:val="left"/>
            </w:pPr>
            <w:r>
              <w:rPr>
                <w:rFonts w:ascii="微軟正黑體" w:hAnsi="微軟正黑體"/>
                <w:color w:val="1E1E1E"/>
                <w:sz w:val="18"/>
              </w:rPr>
              <w:t>維持嚴格審查，僅核貸優質客戶</w:t>
            </w:r>
          </w:p>
        </w:tc>
      </w:tr>
      <w:tr>
        <w:tc>
          <w:tcPr>
            <w:tcW w:type="dxa" w:w="2304"/>
            <w:shd w:fill="F8FAFC"/>
            <w:tcMar>
              <w:top w:w="100" w:type="dxa"/>
              <w:bottom w:w="100" w:type="dxa"/>
              <w:left w:w="120" w:type="dxa"/>
              <w:right w:w="120" w:type="dxa"/>
            </w:tcMar>
          </w:tcPr>
          <w:p>
            <w:pPr>
              <w:jc w:val="left"/>
            </w:pPr>
            <w:r>
              <w:rPr>
                <w:rFonts w:ascii="微軟正黑體" w:hAnsi="微軟正黑體"/>
                <w:color w:val="1E1E1E"/>
                <w:sz w:val="18"/>
              </w:rPr>
              <w:t>備選方案一 (Option 1)</w:t>
            </w:r>
          </w:p>
        </w:tc>
        <w:tc>
          <w:tcPr>
            <w:tcW w:type="dxa" w:w="1584"/>
            <w:shd w:fill="F8FAFC"/>
            <w:tcMar>
              <w:top w:w="100" w:type="dxa"/>
              <w:bottom w:w="100" w:type="dxa"/>
              <w:left w:w="120" w:type="dxa"/>
              <w:right w:w="120" w:type="dxa"/>
            </w:tcMar>
          </w:tcPr>
          <w:p>
            <w:pPr>
              <w:jc w:val="center"/>
            </w:pPr>
            <w:r>
              <w:rPr>
                <w:rFonts w:ascii="微軟正黑體" w:hAnsi="微軟正黑體"/>
                <w:color w:val="1E1E1E"/>
                <w:sz w:val="18"/>
              </w:rPr>
              <w:t>Net 30</w:t>
            </w:r>
          </w:p>
        </w:tc>
        <w:tc>
          <w:tcPr>
            <w:tcW w:type="dxa" w:w="1584"/>
            <w:shd w:fill="F8FAFC"/>
            <w:tcMar>
              <w:top w:w="100" w:type="dxa"/>
              <w:bottom w:w="100" w:type="dxa"/>
              <w:left w:w="120" w:type="dxa"/>
              <w:right w:w="120" w:type="dxa"/>
            </w:tcMar>
          </w:tcPr>
          <w:p>
            <w:pPr>
              <w:jc w:val="center"/>
            </w:pPr>
            <w:r>
              <w:rPr>
                <w:rFonts w:ascii="微軟正黑體" w:hAnsi="微軟正黑體"/>
                <w:color w:val="1E1E1E"/>
                <w:sz w:val="18"/>
              </w:rPr>
              <w:t>30 天</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$132,000,000 ($132M)</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2.50%</w:t>
            </w:r>
          </w:p>
        </w:tc>
        <w:tc>
          <w:tcPr>
            <w:tcW w:type="dxa" w:w="3024"/>
            <w:shd w:fill="F8FAFC"/>
            <w:tcMar>
              <w:top w:w="100" w:type="dxa"/>
              <w:bottom w:w="100" w:type="dxa"/>
              <w:left w:w="120" w:type="dxa"/>
              <w:right w:w="120" w:type="dxa"/>
            </w:tcMar>
          </w:tcPr>
          <w:p>
            <w:pPr>
              <w:jc w:val="left"/>
            </w:pPr>
            <w:r>
              <w:rPr>
                <w:rFonts w:ascii="微軟正黑體" w:hAnsi="微軟正黑體"/>
                <w:color w:val="1E1E1E"/>
                <w:sz w:val="18"/>
              </w:rPr>
              <w:t>放寬審查標準，信用期限維持 30 天</w:t>
            </w:r>
          </w:p>
        </w:tc>
      </w:tr>
      <w:tr>
        <w:tc>
          <w:tcPr>
            <w:tcW w:type="dxa" w:w="2304"/>
            <w:shd w:fill="FFFFFF"/>
            <w:tcMar>
              <w:top w:w="100" w:type="dxa"/>
              <w:bottom w:w="100" w:type="dxa"/>
              <w:left w:w="120" w:type="dxa"/>
              <w:right w:w="120" w:type="dxa"/>
            </w:tcMar>
          </w:tcPr>
          <w:p>
            <w:pPr>
              <w:jc w:val="left"/>
            </w:pPr>
            <w:r>
              <w:rPr>
                <w:rFonts w:ascii="微軟正黑體" w:hAnsi="微軟正黑體"/>
                <w:color w:val="1E1E1E"/>
                <w:sz w:val="18"/>
              </w:rPr>
              <w:t>備選方案二 (Option 2)</w:t>
            </w:r>
          </w:p>
        </w:tc>
        <w:tc>
          <w:tcPr>
            <w:tcW w:type="dxa" w:w="1584"/>
            <w:shd w:fill="FFFFFF"/>
            <w:tcMar>
              <w:top w:w="100" w:type="dxa"/>
              <w:bottom w:w="100" w:type="dxa"/>
              <w:left w:w="120" w:type="dxa"/>
              <w:right w:w="120" w:type="dxa"/>
            </w:tcMar>
          </w:tcPr>
          <w:p>
            <w:pPr>
              <w:jc w:val="center"/>
            </w:pPr>
            <w:r>
              <w:rPr>
                <w:rFonts w:ascii="微軟正黑體" w:hAnsi="微軟正黑體"/>
                <w:color w:val="1E1E1E"/>
                <w:sz w:val="18"/>
              </w:rPr>
              <w:t>Net 45</w:t>
            </w:r>
          </w:p>
        </w:tc>
        <w:tc>
          <w:tcPr>
            <w:tcW w:type="dxa" w:w="1584"/>
            <w:shd w:fill="FFFFFF"/>
            <w:tcMar>
              <w:top w:w="100" w:type="dxa"/>
              <w:bottom w:w="100" w:type="dxa"/>
              <w:left w:w="120" w:type="dxa"/>
              <w:right w:w="120" w:type="dxa"/>
            </w:tcMar>
          </w:tcPr>
          <w:p>
            <w:pPr>
              <w:jc w:val="center"/>
            </w:pPr>
            <w:r>
              <w:rPr>
                <w:rFonts w:ascii="微軟正黑體" w:hAnsi="微軟正黑體"/>
                <w:color w:val="1E1E1E"/>
                <w:sz w:val="18"/>
              </w:rPr>
              <w:t>45 天</w:t>
            </w:r>
          </w:p>
        </w:tc>
        <w:tc>
          <w:tcPr>
            <w:tcW w:type="dxa" w:w="2304"/>
            <w:shd w:fill="FFFFFF"/>
            <w:tcMar>
              <w:top w:w="100" w:type="dxa"/>
              <w:bottom w:w="100" w:type="dxa"/>
              <w:left w:w="120" w:type="dxa"/>
              <w:right w:w="120" w:type="dxa"/>
            </w:tcMar>
          </w:tcPr>
          <w:p>
            <w:pPr>
              <w:jc w:val="right"/>
            </w:pPr>
            <w:r>
              <w:rPr>
                <w:rFonts w:ascii="微軟正黑體" w:hAnsi="微軟正黑體"/>
                <w:color w:val="1E1E1E"/>
                <w:sz w:val="18"/>
              </w:rPr>
              <w:t>$135,000,000 ($135M)</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1.80%</w:t>
            </w:r>
          </w:p>
        </w:tc>
        <w:tc>
          <w:tcPr>
            <w:tcW w:type="dxa" w:w="3024"/>
            <w:shd w:fill="FFFFFF"/>
            <w:tcMar>
              <w:top w:w="100" w:type="dxa"/>
              <w:bottom w:w="100" w:type="dxa"/>
              <w:left w:w="120" w:type="dxa"/>
              <w:right w:w="120" w:type="dxa"/>
            </w:tcMar>
          </w:tcPr>
          <w:p>
            <w:pPr>
              <w:jc w:val="left"/>
            </w:pPr>
            <w:r>
              <w:rPr>
                <w:rFonts w:ascii="微軟正黑體" w:hAnsi="微軟正黑體"/>
                <w:color w:val="1E1E1E"/>
                <w:sz w:val="18"/>
              </w:rPr>
              <w:t>維持嚴格審查，信用期延長至 45 天</w:t>
            </w:r>
          </w:p>
        </w:tc>
      </w:tr>
      <w:tr>
        <w:tc>
          <w:tcPr>
            <w:tcW w:type="dxa" w:w="2304"/>
            <w:shd w:fill="F8FAFC"/>
            <w:tcMar>
              <w:top w:w="100" w:type="dxa"/>
              <w:bottom w:w="100" w:type="dxa"/>
              <w:left w:w="120" w:type="dxa"/>
              <w:right w:w="120" w:type="dxa"/>
            </w:tcMar>
          </w:tcPr>
          <w:p>
            <w:pPr>
              <w:jc w:val="left"/>
            </w:pPr>
            <w:r>
              <w:rPr>
                <w:rFonts w:ascii="微軟正黑體" w:hAnsi="微軟正黑體"/>
                <w:color w:val="1E1E1E"/>
                <w:sz w:val="18"/>
              </w:rPr>
              <w:t>備選方案三 (Option 3)</w:t>
            </w:r>
          </w:p>
        </w:tc>
        <w:tc>
          <w:tcPr>
            <w:tcW w:type="dxa" w:w="1584"/>
            <w:shd w:fill="F8FAFC"/>
            <w:tcMar>
              <w:top w:w="100" w:type="dxa"/>
              <w:bottom w:w="100" w:type="dxa"/>
              <w:left w:w="120" w:type="dxa"/>
              <w:right w:w="120" w:type="dxa"/>
            </w:tcMar>
          </w:tcPr>
          <w:p>
            <w:pPr>
              <w:jc w:val="center"/>
            </w:pPr>
            <w:r>
              <w:rPr>
                <w:rFonts w:ascii="微軟正黑體" w:hAnsi="微軟正黑體"/>
                <w:color w:val="1E1E1E"/>
                <w:sz w:val="18"/>
              </w:rPr>
              <w:t>Net 45</w:t>
            </w:r>
          </w:p>
        </w:tc>
        <w:tc>
          <w:tcPr>
            <w:tcW w:type="dxa" w:w="1584"/>
            <w:shd w:fill="F8FAFC"/>
            <w:tcMar>
              <w:top w:w="100" w:type="dxa"/>
              <w:bottom w:w="100" w:type="dxa"/>
              <w:left w:w="120" w:type="dxa"/>
              <w:right w:w="120" w:type="dxa"/>
            </w:tcMar>
          </w:tcPr>
          <w:p>
            <w:pPr>
              <w:jc w:val="center"/>
            </w:pPr>
            <w:r>
              <w:rPr>
                <w:rFonts w:ascii="微軟正黑體" w:hAnsi="微軟正黑體"/>
                <w:color w:val="1E1E1E"/>
                <w:sz w:val="18"/>
              </w:rPr>
              <w:t>45 天</w:t>
            </w:r>
          </w:p>
        </w:tc>
        <w:tc>
          <w:tcPr>
            <w:tcW w:type="dxa" w:w="2304"/>
            <w:shd w:fill="F8FAFC"/>
            <w:tcMar>
              <w:top w:w="100" w:type="dxa"/>
              <w:bottom w:w="100" w:type="dxa"/>
              <w:left w:w="120" w:type="dxa"/>
              <w:right w:w="120" w:type="dxa"/>
            </w:tcMar>
          </w:tcPr>
          <w:p>
            <w:pPr>
              <w:jc w:val="right"/>
            </w:pPr>
            <w:r>
              <w:rPr>
                <w:rFonts w:ascii="微軟正黑體" w:hAnsi="微軟正黑體"/>
                <w:color w:val="1E1E1E"/>
                <w:sz w:val="18"/>
              </w:rPr>
              <w:t>$148,000,000 ($148M)</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3.20%</w:t>
            </w:r>
          </w:p>
        </w:tc>
        <w:tc>
          <w:tcPr>
            <w:tcW w:type="dxa" w:w="3024"/>
            <w:shd w:fill="F8FAFC"/>
            <w:tcMar>
              <w:top w:w="100" w:type="dxa"/>
              <w:bottom w:w="100" w:type="dxa"/>
              <w:left w:w="120" w:type="dxa"/>
              <w:right w:w="120" w:type="dxa"/>
            </w:tcMar>
          </w:tcPr>
          <w:p>
            <w:pPr>
              <w:jc w:val="left"/>
            </w:pPr>
            <w:r>
              <w:rPr>
                <w:rFonts w:ascii="微軟正黑體" w:hAnsi="微軟正黑體"/>
                <w:color w:val="1E1E1E"/>
                <w:sz w:val="18"/>
              </w:rPr>
              <w:t>同時放寬審查標準並延長信用期至 45 天</w:t>
            </w:r>
          </w:p>
        </w:tc>
      </w:tr>
    </w:tbl>
    <w:p>
      <w:pPr>
        <w:keepNext/>
        <w:spacing w:before="360" w:after="160"/>
      </w:pPr>
      <w:r>
        <w:rPr>
          <w:rFonts w:ascii="微軟正黑體" w:hAnsi="微軟正黑體"/>
          <w:b/>
          <w:color w:val="1B365D"/>
          <w:sz w:val="28"/>
        </w:rPr>
        <w:t>第三部分：個案核心作業問題清單</w:t>
      </w:r>
    </w:p>
    <w:p>
      <w:pPr>
        <w:pStyle w:val="ListBullet"/>
        <w:spacing w:before="20" w:after="60" w:line="276" w:lineRule="auto"/>
      </w:pPr>
      <w:r>
        <w:rPr>
          <w:rFonts w:ascii="微軟正黑體" w:hAnsi="微軟正黑體"/>
          <w:b/>
          <w:color w:val="1B365D"/>
          <w:sz w:val="20"/>
        </w:rPr>
        <w:t>問題一（各方案核心財務指標綜合試算表）：</w:t>
      </w:r>
      <w:r>
        <w:rPr>
          <w:rFonts w:ascii="微軟正黑體" w:hAnsi="微軟正黑體"/>
          <w:color w:val="282828"/>
          <w:sz w:val="20"/>
        </w:rPr>
        <w:t>請為現行政策以及備選方案 1、2、3 分別計算以下財務指標並彙整成表：</w:t>
        <w:br/>
        <w:t>1. 預期年變動成本總額（$70\% \times \text{銷售額}$）；</w:t>
        <w:br/>
        <w:t>2. 邊際貢獻毛利（Gross Contribution Margin = $\text{銷售額} \times 30\%$）；</w:t>
        <w:br/>
        <w:t>3. 平均應收帳款餘額（$\text{Average A/R Balance} = \text{銷售額} \times \frac{\text{DSO}}{365}$）；</w:t>
        <w:br/>
        <w:t>4. 應收帳款資金持有成本（$\text{Carrying Cost} = \text{平均 A/R} \times 8.0\%$）；</w:t>
        <w:br/>
        <w:t>5. 預期壞帳損失總額（$\text{Bad Debt Expense} = \text{銷售額} \times \text{壞帳率}$）；</w:t>
        <w:br/>
        <w:t>6. 扣除壞帳與資金持有成本後的【年度營業淨利潤】（Net Credit Operating Profit）。</w:t>
      </w:r>
    </w:p>
    <w:p>
      <w:pPr>
        <w:pStyle w:val="ListBullet"/>
        <w:spacing w:before="20" w:after="60" w:line="276" w:lineRule="auto"/>
      </w:pPr>
      <w:r>
        <w:rPr>
          <w:rFonts w:ascii="微軟正黑體" w:hAnsi="微軟正黑體"/>
          <w:b/>
          <w:color w:val="1B365D"/>
          <w:sz w:val="20"/>
        </w:rPr>
        <w:t>問題二（邊際增量分析 Incremental Analysis）：</w:t>
      </w:r>
      <w:r>
        <w:rPr>
          <w:rFonts w:ascii="微軟正黑體" w:hAnsi="微軟正黑體"/>
          <w:color w:val="282828"/>
          <w:sz w:val="20"/>
        </w:rPr>
        <w:t>以現行政策為基準，請分別針對方案 1、方案 2 與方案 3 進行詳細的增量分析：</w:t>
        <w:br/>
        <w:t>1. 計算各方案相較於現行政策所帶來的【增量邊際毛利】（$\Delta \text{Gross Margin}$）；</w:t>
        <w:br/>
        <w:t>2. 計算各方案相較於現行政策所增加的【增量壞帳損失】（$\Delta \text{Bad Debt}$）；</w:t>
        <w:br/>
        <w:t>3. 計算各方案相較於現行政策所增加的【增量資金持有成本】（$\Delta \text{Carrying Cost}$）；</w:t>
        <w:br/>
        <w:t>4. 計算各方案帶來的【年度增量淨利潤變動額】（$\Delta \text{Operating Profit}$）。</w:t>
      </w:r>
    </w:p>
    <w:p>
      <w:pPr>
        <w:pStyle w:val="ListBullet"/>
        <w:spacing w:before="20" w:after="60" w:line="276" w:lineRule="auto"/>
      </w:pPr>
      <w:r>
        <w:rPr>
          <w:rFonts w:ascii="微軟正黑體" w:hAnsi="微軟正黑體"/>
          <w:b/>
          <w:color w:val="1B365D"/>
          <w:sz w:val="20"/>
        </w:rPr>
        <w:t>問題三（信用政策轉換之淨現值 NPV 評估與決策）：</w:t>
      </w:r>
      <w:r>
        <w:rPr>
          <w:rFonts w:ascii="微軟正黑體" w:hAnsi="微軟正黑體"/>
          <w:color w:val="282828"/>
          <w:sz w:val="20"/>
        </w:rPr>
        <w:t>1. 假設信用政策變更所產生的增量現金流為永久性永續年金（Perpetuity），利用資金成本 $R = 8.0\%$，計算從現行政策轉換至方案 1、方案 2、方案 3 的【淨現值】（NPV）；</w:t>
        <w:br/>
        <w:t>2. 綜合評估風險與回報，哪一個方案能最大化 Howlett Industries 的股東財富？請為管理層提供明確的決策建議。</w:t>
      </w:r>
    </w:p>
    <w:p>
      <w:pPr>
        <w:pStyle w:val="ListBullet"/>
        <w:spacing w:before="20" w:after="60" w:line="276" w:lineRule="auto"/>
      </w:pPr>
      <w:r>
        <w:rPr>
          <w:rFonts w:ascii="微軟正黑體" w:hAnsi="微軟正黑體"/>
          <w:b/>
          <w:color w:val="1B365D"/>
          <w:sz w:val="20"/>
        </w:rPr>
        <w:t>問題四（壞帳敏感度壓力測試與風險防範架構）：</w:t>
      </w:r>
      <w:r>
        <w:rPr>
          <w:rFonts w:ascii="微軟正黑體" w:hAnsi="微軟正黑體"/>
          <w:color w:val="282828"/>
          <w:sz w:val="20"/>
        </w:rPr>
        <w:t>1. 敏感度分析：若宏觀經濟遭遇衰退，方案 3 的實際壞帳損失率從預估的 3.2% 攀升至 4.5% 或 5.0%，該方案的獲利性會受到何種衝擊？是否存在虧損臨界點？</w:t>
        <w:br/>
        <w:t>2. 為了在擴大放款的同時有效防範違約，Howlett Industries 應建立怎樣的信用風險防範架構（如 5C 分析法、動態信用評分卡與應收帳款帳齡分析表）？</w:t>
      </w:r>
    </w:p>
    <w:p>
      <w:pPr>
        <w:keepNext/>
        <w:spacing w:before="360" w:after="160"/>
      </w:pPr>
      <w:r>
        <w:rPr>
          <w:rFonts w:ascii="微軟正黑體" w:hAnsi="微軟正黑體"/>
          <w:b/>
          <w:color w:val="1B365D"/>
          <w:sz w:val="28"/>
        </w:rPr>
        <w:t>第四部分：教師教學指引（Instructor's Teaching Guide）</w:t>
      </w:r>
    </w:p>
    <w:p>
      <w:pPr>
        <w:keepNext/>
        <w:spacing w:before="240" w:after="120"/>
      </w:pPr>
      <w:r>
        <w:rPr>
          <w:rFonts w:ascii="微軟正黑體" w:hAnsi="微軟正黑體"/>
          <w:b/>
          <w:color w:val="2C5E8A"/>
          <w:sz w:val="24"/>
        </w:rPr>
        <w:t>4.1 教學目標與先備知識要求</w:t>
      </w:r>
    </w:p>
    <w:p>
      <w:pPr>
        <w:pStyle w:val="ListBullet"/>
        <w:spacing w:before="20" w:after="60" w:line="276" w:lineRule="auto"/>
      </w:pPr>
      <w:r>
        <w:rPr>
          <w:rFonts w:ascii="微軟正黑體" w:hAnsi="微軟正黑體"/>
          <w:b/>
          <w:color w:val="1B365D"/>
          <w:sz w:val="20"/>
        </w:rPr>
        <w:t>教學目標 1：掌握商業信用決策的邊際權衡理論（Trade-off Theory of Credit）：</w:t>
      </w:r>
      <w:r>
        <w:rPr>
          <w:rFonts w:ascii="微軟正黑體" w:hAnsi="微軟正黑體"/>
          <w:color w:val="282828"/>
          <w:sz w:val="20"/>
        </w:rPr>
        <w:t>理解信用放寬是『用邊際利潤換取信用風險』的過程，學會精確量化增量毛利 vs. 增量壞帳與資金佔用成本。</w:t>
      </w:r>
    </w:p>
    <w:p>
      <w:pPr>
        <w:pStyle w:val="ListBullet"/>
        <w:spacing w:before="20" w:after="60" w:line="276" w:lineRule="auto"/>
      </w:pPr>
      <w:r>
        <w:rPr>
          <w:rFonts w:ascii="微軟正黑體" w:hAnsi="微軟正黑體"/>
          <w:b/>
          <w:color w:val="1B365D"/>
          <w:sz w:val="20"/>
        </w:rPr>
        <w:t>教學目標 2：精通應收帳款管理中的『骨牌效應』分析：</w:t>
      </w:r>
      <w:r>
        <w:rPr>
          <w:rFonts w:ascii="微軟正黑體" w:hAnsi="微軟正黑體"/>
          <w:color w:val="282828"/>
          <w:sz w:val="20"/>
        </w:rPr>
        <w:t>深刻領會當信用期由 30 天延至 45 天時，不僅新客戶享受 45 天，原本 1.2 億美元的【所有老客戶】也全部順理成章拖延至 45 天付款，導致應收帳款資金成本呈現非線性爆炸式增長。</w:t>
      </w:r>
    </w:p>
    <w:p>
      <w:pPr>
        <w:pStyle w:val="ListBullet"/>
        <w:spacing w:before="20" w:after="60" w:line="276" w:lineRule="auto"/>
      </w:pPr>
      <w:r>
        <w:rPr>
          <w:rFonts w:ascii="微軟正黑體" w:hAnsi="微軟正黑體"/>
          <w:b/>
          <w:color w:val="1B365D"/>
          <w:sz w:val="20"/>
        </w:rPr>
        <w:t>教學目標 3：掌握信用政策評價的永續年金 NPV 模型：</w:t>
      </w:r>
      <w:r>
        <w:rPr>
          <w:rFonts w:ascii="微軟正黑體" w:hAnsi="微軟正黑體"/>
          <w:color w:val="282828"/>
          <w:sz w:val="20"/>
        </w:rPr>
        <w:t>將短期的損益表增量分析與長期的資本市場價值最大化（NPV）無縫對接。</w:t>
      </w:r>
    </w:p>
    <w:p>
      <w:pPr>
        <w:pStyle w:val="ListBullet"/>
        <w:spacing w:before="20" w:after="60" w:line="276" w:lineRule="auto"/>
      </w:pPr>
      <w:r>
        <w:rPr>
          <w:rFonts w:ascii="微軟正黑體" w:hAnsi="微軟正黑體"/>
          <w:b/>
          <w:color w:val="1B365D"/>
          <w:sz w:val="20"/>
        </w:rPr>
        <w:t>先備知識：</w:t>
      </w:r>
      <w:r>
        <w:rPr>
          <w:rFonts w:ascii="微軟正黑體" w:hAnsi="微軟正黑體"/>
          <w:color w:val="282828"/>
          <w:sz w:val="20"/>
        </w:rPr>
        <w:t>應收帳款週轉天數（DSO）、邊際貢獻毛利率、壞帳準備與沖銷概念、永續年金現值公式（$PV = CF / R$）。</w:t>
      </w:r>
    </w:p>
    <w:p>
      <w:pPr>
        <w:keepNext/>
        <w:spacing w:before="240" w:after="120"/>
      </w:pPr>
      <w:r>
        <w:rPr>
          <w:rFonts w:ascii="微軟正黑體" w:hAnsi="微軟正黑體"/>
          <w:b/>
          <w:color w:val="2C5E8A"/>
          <w:sz w:val="24"/>
        </w:rPr>
        <w:t>4.2 核心財務理論架構深度剖析</w:t>
      </w:r>
    </w:p>
    <w:tbl>
      <w:tblPr>
        <w:tblW w:type="auto" w:w="0"/>
        <w:jc w:val="center"/>
        <w:tblLook w:firstColumn="1" w:firstRow="1" w:lastColumn="0" w:lastRow="0" w:noHBand="0" w:noVBand="1" w:val="04A0"/>
      </w:tblPr>
      <w:tblGrid>
        <w:gridCol w:w="9648"/>
      </w:tblGrid>
      <w:tr>
        <w:tc>
          <w:tcPr>
            <w:tcW w:type="dxa" w:w="9648"/>
            <w:shd w:fill="F0F4F8"/>
            <w:tcMar>
              <w:top w:w="140" w:type="dxa"/>
              <w:bottom w:w="140" w:type="dxa"/>
              <w:left w:w="180" w:type="dxa"/>
              <w:right w:w="180" w:type="dxa"/>
            </w:tcMar>
            <w:tcBorders>
              <w:top w:val="none" w:sz="4" w:space="0" w:color="auto"/>
              <w:left w:val="single" w:sz="24" w:space="0" w:color="1B365D"/>
              <w:bottom w:val="none" w:sz="4" w:space="0" w:color="auto"/>
              <w:right w:val="none" w:sz="4" w:space="0" w:color="auto"/>
            </w:tcBorders>
          </w:tcPr>
          <w:p>
            <w:pPr>
              <w:spacing w:before="0" w:after="80"/>
            </w:pPr>
            <w:r>
              <w:rPr>
                <w:rFonts w:ascii="微軟正黑體" w:hAnsi="微軟正黑體"/>
                <w:b/>
                <w:color w:val="1B365D"/>
                <w:sz w:val="21"/>
              </w:rPr>
              <w:t>📌 核心模型剖析：商業信用決策之邊際增量分析模型</w:t>
            </w:r>
          </w:p>
          <w:p>
            <w:pPr>
              <w:spacing w:before="20" w:after="60" w:line="276" w:lineRule="auto"/>
            </w:pPr>
            <w:r>
              <w:rPr>
                <w:rFonts w:ascii="微軟正黑體" w:hAnsi="微軟正黑體"/>
                <w:color w:val="2D3748"/>
                <w:sz w:val="19"/>
              </w:rPr>
              <w:t>信用政策變更的年度淨利益公式為：</w:t>
            </w:r>
          </w:p>
          <w:p>
            <w:pPr>
              <w:spacing w:before="20" w:after="60" w:line="276" w:lineRule="auto"/>
            </w:pPr>
            <w:r>
              <w:rPr>
                <w:rFonts w:ascii="微軟正黑體" w:hAnsi="微軟正黑體"/>
                <w:color w:val="2D3748"/>
                <w:sz w:val="19"/>
              </w:rPr>
              <w:t>$$\Delta \text{利潤} = \Delta \text{銷售額} \times (1 - v) - \Delta \text{壞帳損失} - \Delta \text{應收帳款資金成本}$$</w:t>
            </w:r>
          </w:p>
          <w:p>
            <w:pPr>
              <w:spacing w:before="20" w:after="60" w:line="276" w:lineRule="auto"/>
            </w:pPr>
            <w:r>
              <w:rPr>
                <w:rFonts w:ascii="微軟正黑體" w:hAnsi="微軟正黑體"/>
                <w:color w:val="2D3748"/>
                <w:sz w:val="19"/>
              </w:rPr>
              <w:t>其中各項組件定義如下：</w:t>
            </w:r>
          </w:p>
          <w:p>
            <w:pPr>
              <w:spacing w:before="20" w:after="60" w:line="276" w:lineRule="auto"/>
            </w:pPr>
            <w:r>
              <w:rPr>
                <w:rFonts w:ascii="微軟正黑體" w:hAnsi="微軟正黑體"/>
                <w:color w:val="2D3748"/>
                <w:sz w:val="19"/>
              </w:rPr>
              <w:t>1. 增量邊際毛利 $= (S_{new} - S_{old}) \times (1 - \text{變動成本率 } v)$</w:t>
            </w:r>
          </w:p>
          <w:p>
            <w:pPr>
              <w:spacing w:before="20" w:after="60" w:line="276" w:lineRule="auto"/>
            </w:pPr>
            <w:r>
              <w:rPr>
                <w:rFonts w:ascii="微軟正黑體" w:hAnsi="微軟正黑體"/>
                <w:color w:val="2D3748"/>
                <w:sz w:val="19"/>
              </w:rPr>
              <w:t>2. 增量壞帳損失 $= (S_{new} \times d_{new}) - (S_{old} \times d_{old})$</w:t>
            </w:r>
          </w:p>
          <w:p>
            <w:pPr>
              <w:spacing w:before="20" w:after="60" w:line="276" w:lineRule="auto"/>
            </w:pPr>
            <w:r>
              <w:rPr>
                <w:rFonts w:ascii="微軟正黑體" w:hAnsi="微軟正黑體"/>
                <w:color w:val="2D3748"/>
                <w:sz w:val="19"/>
              </w:rPr>
              <w:t>3. 增量應收帳款資金成本 $= (\text{A/R}_{new} - \text{A/R}_{old}) \times R$</w:t>
            </w:r>
          </w:p>
          <w:p>
            <w:pPr>
              <w:spacing w:before="20" w:after="60" w:line="276" w:lineRule="auto"/>
            </w:pPr>
            <w:r>
              <w:rPr>
                <w:rFonts w:ascii="微軟正黑體" w:hAnsi="微軟正黑體"/>
                <w:color w:val="2D3748"/>
                <w:sz w:val="19"/>
              </w:rPr>
              <w:t xml:space="preserve">   其中：$\text{A/R} = \text{銷售額} \times \left( \frac{\text{DSO}}{365} \right)$</w:t>
            </w:r>
          </w:p>
          <w:p>
            <w:pPr>
              <w:spacing w:before="20" w:after="60" w:line="276" w:lineRule="auto"/>
            </w:pPr>
            <w:r>
              <w:rPr>
                <w:rFonts w:ascii="微軟正黑體" w:hAnsi="微軟正黑體"/>
                <w:color w:val="2D3748"/>
                <w:sz w:val="19"/>
              </w:rPr>
              <w:t>4. 政策轉換之永續淨現值：</w:t>
            </w:r>
          </w:p>
          <w:p>
            <w:pPr>
              <w:spacing w:before="20" w:after="60" w:line="276" w:lineRule="auto"/>
            </w:pPr>
            <w:r>
              <w:rPr>
                <w:rFonts w:ascii="微軟正黑體" w:hAnsi="微軟正黑體"/>
                <w:color w:val="2D3748"/>
                <w:sz w:val="19"/>
              </w:rPr>
              <w:t>$$\text{NPV} = \frac{\Delta \text{利潤}}{R}$$</w:t>
            </w:r>
          </w:p>
          <w:p>
            <w:pPr>
              <w:spacing w:before="20" w:after="60" w:line="276" w:lineRule="auto"/>
            </w:pPr>
            <w:r>
              <w:rPr>
                <w:rFonts w:ascii="微軟正黑體" w:hAnsi="微軟正黑體"/>
                <w:color w:val="2D3748"/>
                <w:sz w:val="19"/>
              </w:rPr>
              <w:t>• 決策黃金法則：唯有當 $\Delta \text{利潤} &gt; 0$（即 $\text{NPV} &gt; 0$）時，放寬信用政策方具備財務合理性！</w:t>
            </w:r>
          </w:p>
        </w:tc>
      </w:tr>
    </w:tbl>
    <w:p>
      <w:pPr>
        <w:keepNext/>
        <w:spacing w:before="240" w:after="120"/>
      </w:pPr>
      <w:r>
        <w:rPr>
          <w:rFonts w:ascii="微軟正黑體" w:hAnsi="微軟正黑體"/>
          <w:b/>
          <w:color w:val="2C5E8A"/>
          <w:sz w:val="24"/>
        </w:rPr>
        <w:t>4.3 學生常見學習盲點與引導策略</w:t>
      </w:r>
    </w:p>
    <w:p>
      <w:pPr>
        <w:pStyle w:val="ListBullet"/>
        <w:spacing w:before="20" w:after="60" w:line="276" w:lineRule="auto"/>
      </w:pPr>
      <w:r>
        <w:rPr>
          <w:rFonts w:ascii="微軟正黑體" w:hAnsi="微軟正黑體"/>
          <w:b/>
          <w:color w:val="1B365D"/>
          <w:sz w:val="20"/>
        </w:rPr>
        <w:t>盲點一：只看銷售額增加，忽略變動生產成本</w:t>
      </w:r>
      <w:r>
        <w:rPr>
          <w:rFonts w:ascii="微軟正黑體" w:hAnsi="微軟正黑體"/>
          <w:color w:val="282828"/>
          <w:sz w:val="20"/>
        </w:rPr>
        <w:t>引導技巧：許多學生直覺認為『銷售額增加 1,200 萬美元，利潤就增加 1,200 萬』，完全忘記每生產 1 美元的產品需要投入 0.70 美元的直接材料與工資！真正的增量收益只有邊際貢獻毛利（$1,200M \times 30\% = \$360$ 萬美元）。</w:t>
      </w:r>
    </w:p>
    <w:p>
      <w:pPr>
        <w:pStyle w:val="ListBullet"/>
        <w:spacing w:before="20" w:after="60" w:line="276" w:lineRule="auto"/>
      </w:pPr>
      <w:r>
        <w:rPr>
          <w:rFonts w:ascii="微軟正黑體" w:hAnsi="微軟正黑體"/>
          <w:b/>
          <w:color w:val="1B365D"/>
          <w:sz w:val="20"/>
        </w:rPr>
        <w:t>盲點二：計算方案 2 應收帳款時，只計算新增銷售額的應收帳款</w:t>
      </w:r>
      <w:r>
        <w:rPr>
          <w:rFonts w:ascii="微軟正黑體" w:hAnsi="微軟正黑體"/>
          <w:color w:val="282828"/>
          <w:sz w:val="20"/>
        </w:rPr>
        <w:t>引導技巧：特別強調【全客群傳染性】！當公司宣佈信用期延長至 45 天，原本準時 30 天付款的老客戶絕對不可能繼續 30 天付款，所有人都會合法延遲至 45 天才付現。因此，方案 2 的應收帳款是基於【全體 1.35 億美元銷售額】以 45 天計算，而非僅僅新增的 1,500 萬！</w:t>
      </w:r>
    </w:p>
    <w:p>
      <w:pPr>
        <w:keepNext/>
        <w:spacing w:before="360" w:after="160"/>
      </w:pPr>
      <w:r>
        <w:rPr>
          <w:rFonts w:ascii="微軟正黑體" w:hAnsi="微軟正黑體"/>
          <w:b/>
          <w:color w:val="1B365D"/>
          <w:sz w:val="28"/>
        </w:rPr>
        <w:t>第五部分：教學解答與詳細數學推導</w:t>
      </w:r>
    </w:p>
    <w:p>
      <w:pPr>
        <w:keepNext/>
        <w:spacing w:before="240" w:after="120"/>
      </w:pPr>
      <w:r>
        <w:rPr>
          <w:rFonts w:ascii="微軟正黑體" w:hAnsi="微軟正黑體"/>
          <w:b/>
          <w:color w:val="2C5E8A"/>
          <w:sz w:val="24"/>
        </w:rPr>
        <w:t>問題一解答：各方案核心財務指標詳細精算表</w:t>
      </w:r>
    </w:p>
    <w:p>
      <w:pPr>
        <w:spacing w:before="0" w:after="120" w:line="276" w:lineRule="auto"/>
      </w:pPr>
      <w:r>
        <w:rPr>
          <w:rFonts w:ascii="微軟正黑體" w:hAnsi="微軟正黑體"/>
          <w:b w:val="0"/>
          <w:i w:val="0"/>
          <w:color w:val="222222"/>
          <w:sz w:val="20"/>
        </w:rPr>
        <w:t>各項財務指標精算公式如下（以年為基準，365 天計）：</w:t>
        <w:br/>
        <w:t>• 變動成本 $= \text{銷售額} \times 70\%$</w:t>
        <w:br/>
        <w:t>• 邊際毛利 $= \text{銷售額} \times 30\%$</w:t>
        <w:br/>
        <w:t>• 平均應收帳款餘額（A/R）$= \text{銷售額} \times (\text{DSO} / 365)$</w:t>
        <w:br/>
        <w:t>• 資金持有成本 $= \text{A/R} \times 8.0\%$</w:t>
        <w:br/>
        <w:t>• 壞帳損失 $= \text{銷售額} \times \text{壞帳率}$</w:t>
        <w:br/>
        <w:t>• 營業淨利潤 $= \text{邊際毛利} - \text{資金持有成本} - \text{壞帳損失}</w:t>
      </w:r>
    </w:p>
    <w:tbl>
      <w:tblPr>
        <w:tblW w:type="auto" w:w="0"/>
        <w:jc w:val="center"/>
        <w:tblLook w:firstColumn="1" w:firstRow="1" w:lastColumn="0" w:lastRow="0" w:noHBand="0" w:noVBand="1" w:val="04A0"/>
      </w:tblPr>
      <w:tblGrid>
        <w:gridCol w:w="1930"/>
        <w:gridCol w:w="1930"/>
        <w:gridCol w:w="1930"/>
        <w:gridCol w:w="1930"/>
        <w:gridCol w:w="1930"/>
      </w:tblGrid>
      <w:tr>
        <w:tc>
          <w:tcPr>
            <w:tcW w:type="dxa" w:w="3312"/>
            <w:shd w:fill="1B365D"/>
            <w:tcMar>
              <w:top w:w="120" w:type="dxa"/>
              <w:bottom w:w="120" w:type="dxa"/>
              <w:left w:w="120" w:type="dxa"/>
              <w:right w:w="120" w:type="dxa"/>
            </w:tcMar>
          </w:tcPr>
          <w:p>
            <w:pPr>
              <w:jc w:val="center"/>
            </w:pPr>
            <w:r>
              <w:rPr>
                <w:rFonts w:ascii="微軟正黑體" w:hAnsi="微軟正黑體"/>
                <w:b/>
                <w:color w:val="FFFFFF"/>
                <w:sz w:val="19"/>
              </w:rPr>
              <w:t>財務指標項目</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現行政策 (Current)</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方案一 (Option 1)</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方案二 (Option 2)</w:t>
            </w:r>
          </w:p>
        </w:tc>
        <w:tc>
          <w:tcPr>
            <w:tcW w:type="dxa" w:w="1728"/>
            <w:shd w:fill="1B365D"/>
            <w:tcMar>
              <w:top w:w="120" w:type="dxa"/>
              <w:bottom w:w="120" w:type="dxa"/>
              <w:left w:w="120" w:type="dxa"/>
              <w:right w:w="120" w:type="dxa"/>
            </w:tcMar>
          </w:tcPr>
          <w:p>
            <w:pPr>
              <w:jc w:val="center"/>
            </w:pPr>
            <w:r>
              <w:rPr>
                <w:rFonts w:ascii="微軟正黑體" w:hAnsi="微軟正黑體"/>
                <w:b/>
                <w:color w:val="FFFFFF"/>
                <w:sz w:val="19"/>
              </w:rPr>
              <w:t>方案三 (Option 3)</w:t>
            </w:r>
          </w:p>
        </w:tc>
      </w:tr>
      <w:tr>
        <w:tc>
          <w:tcPr>
            <w:tcW w:type="dxa" w:w="3312"/>
            <w:shd w:fill="FFFFFF"/>
            <w:tcMar>
              <w:top w:w="100" w:type="dxa"/>
              <w:bottom w:w="100" w:type="dxa"/>
              <w:left w:w="120" w:type="dxa"/>
              <w:right w:w="120" w:type="dxa"/>
            </w:tcMar>
          </w:tcPr>
          <w:p>
            <w:pPr>
              <w:jc w:val="left"/>
            </w:pPr>
            <w:r>
              <w:rPr>
                <w:rFonts w:ascii="微軟正黑體" w:hAnsi="微軟正黑體"/>
                <w:color w:val="1E1E1E"/>
                <w:sz w:val="18"/>
              </w:rPr>
              <w:t>信用期限 (Terms)</w:t>
            </w:r>
          </w:p>
        </w:tc>
        <w:tc>
          <w:tcPr>
            <w:tcW w:type="dxa" w:w="1728"/>
            <w:shd w:fill="FFFFFF"/>
            <w:tcMar>
              <w:top w:w="100" w:type="dxa"/>
              <w:bottom w:w="100" w:type="dxa"/>
              <w:left w:w="120" w:type="dxa"/>
              <w:right w:w="120" w:type="dxa"/>
            </w:tcMar>
          </w:tcPr>
          <w:p>
            <w:pPr>
              <w:jc w:val="center"/>
            </w:pPr>
            <w:r>
              <w:rPr>
                <w:rFonts w:ascii="微軟正黑體" w:hAnsi="微軟正黑體"/>
                <w:color w:val="1E1E1E"/>
                <w:sz w:val="18"/>
              </w:rPr>
              <w:t>Net 30</w:t>
            </w:r>
          </w:p>
        </w:tc>
        <w:tc>
          <w:tcPr>
            <w:tcW w:type="dxa" w:w="1728"/>
            <w:shd w:fill="FFFFFF"/>
            <w:tcMar>
              <w:top w:w="100" w:type="dxa"/>
              <w:bottom w:w="100" w:type="dxa"/>
              <w:left w:w="120" w:type="dxa"/>
              <w:right w:w="120" w:type="dxa"/>
            </w:tcMar>
          </w:tcPr>
          <w:p>
            <w:pPr>
              <w:jc w:val="center"/>
            </w:pPr>
            <w:r>
              <w:rPr>
                <w:rFonts w:ascii="微軟正黑體" w:hAnsi="微軟正黑體"/>
                <w:color w:val="1E1E1E"/>
                <w:sz w:val="18"/>
              </w:rPr>
              <w:t>Net 30</w:t>
            </w:r>
          </w:p>
        </w:tc>
        <w:tc>
          <w:tcPr>
            <w:tcW w:type="dxa" w:w="1728"/>
            <w:shd w:fill="FFFFFF"/>
            <w:tcMar>
              <w:top w:w="100" w:type="dxa"/>
              <w:bottom w:w="100" w:type="dxa"/>
              <w:left w:w="120" w:type="dxa"/>
              <w:right w:w="120" w:type="dxa"/>
            </w:tcMar>
          </w:tcPr>
          <w:p>
            <w:pPr>
              <w:jc w:val="center"/>
            </w:pPr>
            <w:r>
              <w:rPr>
                <w:rFonts w:ascii="微軟正黑體" w:hAnsi="微軟正黑體"/>
                <w:color w:val="1E1E1E"/>
                <w:sz w:val="18"/>
              </w:rPr>
              <w:t>Net 45</w:t>
            </w:r>
          </w:p>
        </w:tc>
        <w:tc>
          <w:tcPr>
            <w:tcW w:type="dxa" w:w="1728"/>
            <w:shd w:fill="FFFFFF"/>
            <w:tcMar>
              <w:top w:w="100" w:type="dxa"/>
              <w:bottom w:w="100" w:type="dxa"/>
              <w:left w:w="120" w:type="dxa"/>
              <w:right w:w="120" w:type="dxa"/>
            </w:tcMar>
          </w:tcPr>
          <w:p>
            <w:pPr>
              <w:jc w:val="center"/>
            </w:pPr>
            <w:r>
              <w:rPr>
                <w:rFonts w:ascii="微軟正黑體" w:hAnsi="微軟正黑體"/>
                <w:color w:val="1E1E1E"/>
                <w:sz w:val="18"/>
              </w:rPr>
              <w:t>Net 45</w:t>
            </w:r>
          </w:p>
        </w:tc>
      </w:tr>
      <w:tr>
        <w:tc>
          <w:tcPr>
            <w:tcW w:type="dxa" w:w="3312"/>
            <w:shd w:fill="F8FAFC"/>
            <w:tcMar>
              <w:top w:w="100" w:type="dxa"/>
              <w:bottom w:w="100" w:type="dxa"/>
              <w:left w:w="120" w:type="dxa"/>
              <w:right w:w="120" w:type="dxa"/>
            </w:tcMar>
          </w:tcPr>
          <w:p>
            <w:pPr>
              <w:jc w:val="left"/>
            </w:pPr>
            <w:r>
              <w:rPr>
                <w:rFonts w:ascii="微軟正黑體" w:hAnsi="微軟正黑體"/>
                <w:color w:val="1E1E1E"/>
                <w:sz w:val="18"/>
              </w:rPr>
              <w:t>平均收款天數 (DSO)</w:t>
            </w:r>
          </w:p>
        </w:tc>
        <w:tc>
          <w:tcPr>
            <w:tcW w:type="dxa" w:w="1728"/>
            <w:shd w:fill="F8FAFC"/>
            <w:tcMar>
              <w:top w:w="100" w:type="dxa"/>
              <w:bottom w:w="100" w:type="dxa"/>
              <w:left w:w="120" w:type="dxa"/>
              <w:right w:w="120" w:type="dxa"/>
            </w:tcMar>
          </w:tcPr>
          <w:p>
            <w:pPr>
              <w:jc w:val="center"/>
            </w:pPr>
            <w:r>
              <w:rPr>
                <w:rFonts w:ascii="微軟正黑體" w:hAnsi="微軟正黑體"/>
                <w:color w:val="1E1E1E"/>
                <w:sz w:val="18"/>
              </w:rPr>
              <w:t>30 天</w:t>
            </w:r>
          </w:p>
        </w:tc>
        <w:tc>
          <w:tcPr>
            <w:tcW w:type="dxa" w:w="1728"/>
            <w:shd w:fill="F8FAFC"/>
            <w:tcMar>
              <w:top w:w="100" w:type="dxa"/>
              <w:bottom w:w="100" w:type="dxa"/>
              <w:left w:w="120" w:type="dxa"/>
              <w:right w:w="120" w:type="dxa"/>
            </w:tcMar>
          </w:tcPr>
          <w:p>
            <w:pPr>
              <w:jc w:val="center"/>
            </w:pPr>
            <w:r>
              <w:rPr>
                <w:rFonts w:ascii="微軟正黑體" w:hAnsi="微軟正黑體"/>
                <w:color w:val="1E1E1E"/>
                <w:sz w:val="18"/>
              </w:rPr>
              <w:t>30 天</w:t>
            </w:r>
          </w:p>
        </w:tc>
        <w:tc>
          <w:tcPr>
            <w:tcW w:type="dxa" w:w="1728"/>
            <w:shd w:fill="F8FAFC"/>
            <w:tcMar>
              <w:top w:w="100" w:type="dxa"/>
              <w:bottom w:w="100" w:type="dxa"/>
              <w:left w:w="120" w:type="dxa"/>
              <w:right w:w="120" w:type="dxa"/>
            </w:tcMar>
          </w:tcPr>
          <w:p>
            <w:pPr>
              <w:jc w:val="center"/>
            </w:pPr>
            <w:r>
              <w:rPr>
                <w:rFonts w:ascii="微軟正黑體" w:hAnsi="微軟正黑體"/>
                <w:color w:val="1E1E1E"/>
                <w:sz w:val="18"/>
              </w:rPr>
              <w:t>45 天</w:t>
            </w:r>
          </w:p>
        </w:tc>
        <w:tc>
          <w:tcPr>
            <w:tcW w:type="dxa" w:w="1728"/>
            <w:shd w:fill="F8FAFC"/>
            <w:tcMar>
              <w:top w:w="100" w:type="dxa"/>
              <w:bottom w:w="100" w:type="dxa"/>
              <w:left w:w="120" w:type="dxa"/>
              <w:right w:w="120" w:type="dxa"/>
            </w:tcMar>
          </w:tcPr>
          <w:p>
            <w:pPr>
              <w:jc w:val="center"/>
            </w:pPr>
            <w:r>
              <w:rPr>
                <w:rFonts w:ascii="微軟正黑體" w:hAnsi="微軟正黑體"/>
                <w:color w:val="1E1E1E"/>
                <w:sz w:val="18"/>
              </w:rPr>
              <w:t>45 天</w:t>
            </w:r>
          </w:p>
        </w:tc>
      </w:tr>
      <w:tr>
        <w:tc>
          <w:tcPr>
            <w:tcW w:type="dxa" w:w="3312"/>
            <w:shd w:fill="FFFFFF"/>
            <w:tcMar>
              <w:top w:w="100" w:type="dxa"/>
              <w:bottom w:w="100" w:type="dxa"/>
              <w:left w:w="120" w:type="dxa"/>
              <w:right w:w="120" w:type="dxa"/>
            </w:tcMar>
          </w:tcPr>
          <w:p>
            <w:pPr>
              <w:jc w:val="center"/>
            </w:pPr>
            <w:r>
              <w:rPr>
                <w:rFonts w:ascii="微軟正黑體" w:hAnsi="微軟正黑體"/>
                <w:color w:val="1E1E1E"/>
                <w:sz w:val="18"/>
              </w:rPr>
              <w:t>預期年銷售額</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$120,000,000</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$132,000,000</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$135,000,000</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$148,000,000</w:t>
            </w:r>
          </w:p>
        </w:tc>
      </w:tr>
      <w:tr>
        <w:tc>
          <w:tcPr>
            <w:tcW w:type="dxa" w:w="3312"/>
            <w:shd w:fill="F8FAFC"/>
            <w:tcMar>
              <w:top w:w="100" w:type="dxa"/>
              <w:bottom w:w="100" w:type="dxa"/>
              <w:left w:w="120" w:type="dxa"/>
              <w:right w:w="120" w:type="dxa"/>
            </w:tcMar>
          </w:tcPr>
          <w:p>
            <w:pPr>
              <w:jc w:val="right"/>
            </w:pPr>
            <w:r>
              <w:rPr>
                <w:rFonts w:ascii="微軟正黑體" w:hAnsi="微軟正黑體"/>
                <w:color w:val="1E1E1E"/>
                <w:sz w:val="18"/>
              </w:rPr>
              <w:t>變動生產成本 (70%)</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$84,000,000</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$92,400,000</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$94,500,000</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$103,600,000</w:t>
            </w:r>
          </w:p>
        </w:tc>
      </w:tr>
      <w:tr>
        <w:tc>
          <w:tcPr>
            <w:tcW w:type="dxa" w:w="3312"/>
            <w:shd w:fill="FFFFFF"/>
            <w:tcMar>
              <w:top w:w="100" w:type="dxa"/>
              <w:bottom w:w="100" w:type="dxa"/>
              <w:left w:w="120" w:type="dxa"/>
              <w:right w:w="120" w:type="dxa"/>
            </w:tcMar>
          </w:tcPr>
          <w:p>
            <w:pPr>
              <w:jc w:val="right"/>
            </w:pPr>
            <w:r>
              <w:rPr>
                <w:rFonts w:ascii="微軟正黑體" w:hAnsi="微軟正黑體"/>
                <w:color w:val="1E1E1E"/>
                <w:sz w:val="18"/>
              </w:rPr>
              <w:t>邊際貢獻毛利 (30%)</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$36,000,000</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$39,600,000</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$40,500,000</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$44,400,000</w:t>
            </w:r>
          </w:p>
        </w:tc>
      </w:tr>
      <w:tr>
        <w:tc>
          <w:tcPr>
            <w:tcW w:type="dxa" w:w="3312"/>
            <w:shd w:fill="F8FAFC"/>
            <w:tcMar>
              <w:top w:w="100" w:type="dxa"/>
              <w:bottom w:w="100" w:type="dxa"/>
              <w:left w:w="120" w:type="dxa"/>
              <w:right w:w="120" w:type="dxa"/>
            </w:tcMar>
          </w:tcPr>
          <w:p>
            <w:pPr>
              <w:jc w:val="left"/>
            </w:pPr>
            <w:r>
              <w:rPr>
                <w:rFonts w:ascii="微軟正黑體" w:hAnsi="微軟正黑體"/>
                <w:color w:val="1E1E1E"/>
                <w:sz w:val="18"/>
              </w:rPr>
              <w:t>平均應收帳款餘額 (A/R)</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$9,863,014</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$10,849,315</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$16,643,836</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$18,246,575</w:t>
            </w:r>
          </w:p>
        </w:tc>
      </w:tr>
      <w:tr>
        <w:tc>
          <w:tcPr>
            <w:tcW w:type="dxa" w:w="3312"/>
            <w:shd w:fill="FFFFFF"/>
            <w:tcMar>
              <w:top w:w="100" w:type="dxa"/>
              <w:bottom w:w="100" w:type="dxa"/>
              <w:left w:w="120" w:type="dxa"/>
              <w:right w:w="120" w:type="dxa"/>
            </w:tcMar>
          </w:tcPr>
          <w:p>
            <w:pPr>
              <w:jc w:val="right"/>
            </w:pPr>
            <w:r>
              <w:rPr>
                <w:rFonts w:ascii="微軟正黑體" w:hAnsi="微軟正黑體"/>
                <w:color w:val="1E1E1E"/>
                <w:sz w:val="18"/>
              </w:rPr>
              <w:t>應收帳款資金成本 (8%)</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$789,041</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$867,945</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$1,331,507</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$1,459,726</w:t>
            </w:r>
          </w:p>
        </w:tc>
      </w:tr>
      <w:tr>
        <w:tc>
          <w:tcPr>
            <w:tcW w:type="dxa" w:w="3312"/>
            <w:shd w:fill="F8FAFC"/>
            <w:tcMar>
              <w:top w:w="100" w:type="dxa"/>
              <w:bottom w:w="100" w:type="dxa"/>
              <w:left w:w="120" w:type="dxa"/>
              <w:right w:w="120" w:type="dxa"/>
            </w:tcMar>
          </w:tcPr>
          <w:p>
            <w:pPr>
              <w:jc w:val="center"/>
            </w:pPr>
            <w:r>
              <w:rPr>
                <w:rFonts w:ascii="微軟正黑體" w:hAnsi="微軟正黑體"/>
                <w:color w:val="1E1E1E"/>
                <w:sz w:val="18"/>
              </w:rPr>
              <w:t>預期壞帳損失總額</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$1,800,000 (1.5%)</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$3,300,000 (2.5%)</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$2,430,000 (1.8%)</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$4,736,000 (3.2%)</w:t>
            </w:r>
          </w:p>
        </w:tc>
      </w:tr>
      <w:tr>
        <w:tc>
          <w:tcPr>
            <w:tcW w:type="dxa" w:w="3312"/>
            <w:shd w:fill="FFFFFF"/>
            <w:tcMar>
              <w:top w:w="100" w:type="dxa"/>
              <w:bottom w:w="100" w:type="dxa"/>
              <w:left w:w="120" w:type="dxa"/>
              <w:right w:w="120" w:type="dxa"/>
            </w:tcMar>
          </w:tcPr>
          <w:p>
            <w:pPr>
              <w:jc w:val="left"/>
            </w:pPr>
            <w:r>
              <w:rPr>
                <w:rFonts w:ascii="微軟正黑體" w:hAnsi="微軟正黑體"/>
                <w:color w:val="1E1E1E"/>
                <w:sz w:val="18"/>
              </w:rPr>
              <w:t>信用持有總成本合計</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$2,589,041</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$4,167,945</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$3,761,507</w:t>
            </w:r>
          </w:p>
        </w:tc>
        <w:tc>
          <w:tcPr>
            <w:tcW w:type="dxa" w:w="1728"/>
            <w:shd w:fill="FFFFFF"/>
            <w:tcMar>
              <w:top w:w="100" w:type="dxa"/>
              <w:bottom w:w="100" w:type="dxa"/>
              <w:left w:w="120" w:type="dxa"/>
              <w:right w:w="120" w:type="dxa"/>
            </w:tcMar>
          </w:tcPr>
          <w:p>
            <w:pPr>
              <w:jc w:val="right"/>
            </w:pPr>
            <w:r>
              <w:rPr>
                <w:rFonts w:ascii="微軟正黑體" w:hAnsi="微軟正黑體"/>
                <w:color w:val="1E1E1E"/>
                <w:sz w:val="18"/>
              </w:rPr>
              <w:t>$6,195,726</w:t>
            </w:r>
          </w:p>
        </w:tc>
      </w:tr>
      <w:tr>
        <w:tc>
          <w:tcPr>
            <w:tcW w:type="dxa" w:w="3312"/>
            <w:shd w:fill="F8FAFC"/>
            <w:tcMar>
              <w:top w:w="100" w:type="dxa"/>
              <w:bottom w:w="100" w:type="dxa"/>
              <w:left w:w="120" w:type="dxa"/>
              <w:right w:w="120" w:type="dxa"/>
            </w:tcMar>
          </w:tcPr>
          <w:p>
            <w:pPr>
              <w:jc w:val="left"/>
            </w:pPr>
            <w:r>
              <w:rPr>
                <w:rFonts w:ascii="微軟正黑體" w:hAnsi="微軟正黑體"/>
                <w:color w:val="1E1E1E"/>
                <w:sz w:val="18"/>
              </w:rPr>
              <w:t>【年度營業淨利潤】</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$33,410,959</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$35,432,055</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$36,738,493</w:t>
            </w:r>
          </w:p>
        </w:tc>
        <w:tc>
          <w:tcPr>
            <w:tcW w:type="dxa" w:w="1728"/>
            <w:shd w:fill="F8FAFC"/>
            <w:tcMar>
              <w:top w:w="100" w:type="dxa"/>
              <w:bottom w:w="100" w:type="dxa"/>
              <w:left w:w="120" w:type="dxa"/>
              <w:right w:w="120" w:type="dxa"/>
            </w:tcMar>
          </w:tcPr>
          <w:p>
            <w:pPr>
              <w:jc w:val="right"/>
            </w:pPr>
            <w:r>
              <w:rPr>
                <w:rFonts w:ascii="微軟正黑體" w:hAnsi="微軟正黑體"/>
                <w:color w:val="1E1E1E"/>
                <w:sz w:val="18"/>
              </w:rPr>
              <w:t>$38,204,274</w:t>
            </w:r>
          </w:p>
        </w:tc>
      </w:tr>
    </w:tbl>
    <w:p>
      <w:pPr>
        <w:keepNext/>
        <w:spacing w:before="240" w:after="120"/>
      </w:pPr>
      <w:r>
        <w:rPr>
          <w:rFonts w:ascii="微軟正黑體" w:hAnsi="微軟正黑體"/>
          <w:b/>
          <w:color w:val="2C5E8A"/>
          <w:sz w:val="24"/>
        </w:rPr>
        <w:t>問題二解答：邊際增量分析（Incremental Analysis）</w:t>
      </w:r>
    </w:p>
    <w:p>
      <w:pPr>
        <w:spacing w:before="0" w:after="120" w:line="276" w:lineRule="auto"/>
      </w:pPr>
      <w:r>
        <w:rPr>
          <w:rFonts w:ascii="微軟正黑體" w:hAnsi="微軟正黑體"/>
          <w:b w:val="0"/>
          <w:i w:val="0"/>
          <w:color w:val="222222"/>
          <w:sz w:val="20"/>
        </w:rPr>
        <w:t>以現行政策為基準，逐一計算方案 1、2、3 相較於現行政策所產生的增量變動額：</w:t>
        <w:br/>
        <w:br/>
        <w:t>1. 方案一增量分析（僅放寬審查標準，Net 30）：</w:t>
        <w:br/>
        <w:t>• 增量銷售額 $= \$132,000,000 - \$120,000,000 = +\$12,000,000$</w:t>
        <w:br/>
        <w:t>• 增量邊際毛利 $= +\$12,000,000 \times 30\% = +\$3,600,000$</w:t>
        <w:br/>
        <w:t>• 增量壞帳損失 $= \$3,300,000 - \$1,800,000 = +\$1,500,000$</w:t>
        <w:br/>
        <w:t>• 增量資金持有成本 $= \$867,945 - \$789,041 = +\$78,904$</w:t>
        <w:br/>
        <w:t>$$\Delta \text{利潤 (方案 1)} = +\$3,600,000 - \$1,500,000 - \$78,904 = +\$2,021,096 \text{ 美元 / 年}$$</w:t>
        <w:br/>
        <w:br/>
        <w:t>2. 方案二增量分析（僅延長信用期至 Net 45，審查不變）：</w:t>
        <w:br/>
        <w:t>• 增量銷售額 $= \$135,000,000 - \$120,000,000 = +\$15,000,000$</w:t>
        <w:br/>
        <w:t>• 增量邊際毛利 $= +\$15,000,000 \times 30\% = +\$4,500,000$</w:t>
        <w:br/>
        <w:t>• 增量壞帳損失 $= \$2,430,000 - \$1,800,000 = +\$630,000$</w:t>
        <w:br/>
        <w:t>• 增量資金持有成本 $= \$1,331,507 - \$789,041 = +\$542,466$</w:t>
        <w:br/>
        <w:t>$$\Delta \text{利潤 (方案 2)} = +\$4,500,000 - \$630,000 - \$542,466 = +\$3,327,534 \text{ 美元 / 年}$$</w:t>
        <w:br/>
        <w:br/>
        <w:t>3. 方案三增量分析（同時放寬審查並延長信用期至 Net 45）：</w:t>
        <w:br/>
        <w:t>• 增量銷售額 $= \$148,000,000 - \$120,000,000 = +\$28,000,000$</w:t>
        <w:br/>
        <w:t>• 增量邊際毛利 $= +\$28,000,000 \times 30\% = +\$8,400,000$</w:t>
        <w:br/>
        <w:t>• 增量壞帳損失 $= \$4,736,000 - \$1,800,000 = +\$2,936,000$</w:t>
        <w:br/>
        <w:t>• 增量資金持有成本 $= \$1,459,726 - \$789,041 = +\$670,685$</w:t>
        <w:br/>
        <w:t>$$\Delta \text{利潤 (方案 3)} = +\$8,400,000 - \$2,936,000 - \$670,685 = +\$4,793,315 \text{ 美元 / 年}$$</w:t>
      </w:r>
    </w:p>
    <w:tbl>
      <w:tblPr>
        <w:tblW w:type="auto" w:w="0"/>
        <w:jc w:val="center"/>
        <w:tblLook w:firstColumn="1" w:firstRow="1" w:lastColumn="0" w:lastRow="0" w:noHBand="0" w:noVBand="1" w:val="04A0"/>
      </w:tblPr>
      <w:tblGrid>
        <w:gridCol w:w="2412"/>
        <w:gridCol w:w="2412"/>
        <w:gridCol w:w="2412"/>
        <w:gridCol w:w="2412"/>
      </w:tblGrid>
      <w:tr>
        <w:tc>
          <w:tcPr>
            <w:tcW w:type="dxa" w:w="3456"/>
            <w:shd w:fill="1B365D"/>
            <w:tcMar>
              <w:top w:w="120" w:type="dxa"/>
              <w:bottom w:w="120" w:type="dxa"/>
              <w:left w:w="120" w:type="dxa"/>
              <w:right w:w="120" w:type="dxa"/>
            </w:tcMar>
          </w:tcPr>
          <w:p>
            <w:pPr>
              <w:jc w:val="center"/>
            </w:pPr>
            <w:r>
              <w:rPr>
                <w:rFonts w:ascii="微軟正黑體" w:hAnsi="微軟正黑體"/>
                <w:b/>
                <w:color w:val="FFFFFF"/>
                <w:sz w:val="19"/>
              </w:rPr>
              <w:t>邊際增量分析項目 (相較於現行)</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方案一 (Option 1)</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方案二 (Option 2)</w:t>
            </w:r>
          </w:p>
        </w:tc>
        <w:tc>
          <w:tcPr>
            <w:tcW w:type="dxa" w:w="2160"/>
            <w:shd w:fill="1B365D"/>
            <w:tcMar>
              <w:top w:w="120" w:type="dxa"/>
              <w:bottom w:w="120" w:type="dxa"/>
              <w:left w:w="120" w:type="dxa"/>
              <w:right w:w="120" w:type="dxa"/>
            </w:tcMar>
          </w:tcPr>
          <w:p>
            <w:pPr>
              <w:jc w:val="center"/>
            </w:pPr>
            <w:r>
              <w:rPr>
                <w:rFonts w:ascii="微軟正黑體" w:hAnsi="微軟正黑體"/>
                <w:b/>
                <w:color w:val="FFFFFF"/>
                <w:sz w:val="19"/>
              </w:rPr>
              <w:t>方案三 (Option 3)</w:t>
            </w:r>
          </w:p>
        </w:tc>
      </w:tr>
      <w:tr>
        <w:tc>
          <w:tcPr>
            <w:tcW w:type="dxa" w:w="3456"/>
            <w:shd w:fill="FFFFFF"/>
            <w:tcMar>
              <w:top w:w="100" w:type="dxa"/>
              <w:bottom w:w="100" w:type="dxa"/>
              <w:left w:w="120" w:type="dxa"/>
              <w:right w:w="120" w:type="dxa"/>
            </w:tcMar>
          </w:tcPr>
          <w:p>
            <w:pPr>
              <w:jc w:val="left"/>
            </w:pPr>
            <w:r>
              <w:rPr>
                <w:rFonts w:ascii="微軟正黑體" w:hAnsi="微軟正黑體"/>
                <w:color w:val="1E1E1E"/>
                <w:sz w:val="18"/>
              </w:rPr>
              <w:t>增量銷售額 (ΔSales)</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+$12,000,000</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+$15,000,000</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+$28,000,000</w:t>
            </w:r>
          </w:p>
        </w:tc>
      </w:tr>
      <w:tr>
        <w:tc>
          <w:tcPr>
            <w:tcW w:type="dxa" w:w="3456"/>
            <w:shd w:fill="F8FAFC"/>
            <w:tcMar>
              <w:top w:w="100" w:type="dxa"/>
              <w:bottom w:w="100" w:type="dxa"/>
              <w:left w:w="120" w:type="dxa"/>
              <w:right w:w="120" w:type="dxa"/>
            </w:tcMar>
          </w:tcPr>
          <w:p>
            <w:pPr>
              <w:jc w:val="right"/>
            </w:pPr>
            <w:r>
              <w:rPr>
                <w:rFonts w:ascii="微軟正黑體" w:hAnsi="微軟正黑體"/>
                <w:color w:val="1E1E1E"/>
                <w:sz w:val="18"/>
              </w:rPr>
              <w:t>【增量邊際貢獻毛利】(+30%)</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+$3,600,000</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+$4,500,000</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+$8,400,000</w:t>
            </w:r>
          </w:p>
        </w:tc>
      </w:tr>
      <w:tr>
        <w:tc>
          <w:tcPr>
            <w:tcW w:type="dxa" w:w="3456"/>
            <w:shd w:fill="FFFFFF"/>
            <w:tcMar>
              <w:top w:w="100" w:type="dxa"/>
              <w:bottom w:w="100" w:type="dxa"/>
              <w:left w:w="120" w:type="dxa"/>
              <w:right w:w="120" w:type="dxa"/>
            </w:tcMar>
          </w:tcPr>
          <w:p>
            <w:pPr>
              <w:jc w:val="left"/>
            </w:pPr>
            <w:r>
              <w:rPr>
                <w:rFonts w:ascii="微軟正黑體" w:hAnsi="微軟正黑體"/>
                <w:color w:val="1E1E1E"/>
                <w:sz w:val="18"/>
              </w:rPr>
              <w:t>【增量壞帳損失支出】(ΔBad Debt)</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+$1,500,000</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+$630,000</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+$2,936,000</w:t>
            </w:r>
          </w:p>
        </w:tc>
      </w:tr>
      <w:tr>
        <w:tc>
          <w:tcPr>
            <w:tcW w:type="dxa" w:w="3456"/>
            <w:shd w:fill="F8FAFC"/>
            <w:tcMar>
              <w:top w:w="100" w:type="dxa"/>
              <w:bottom w:w="100" w:type="dxa"/>
              <w:left w:w="120" w:type="dxa"/>
              <w:right w:w="120" w:type="dxa"/>
            </w:tcMar>
          </w:tcPr>
          <w:p>
            <w:pPr>
              <w:jc w:val="left"/>
            </w:pPr>
            <w:r>
              <w:rPr>
                <w:rFonts w:ascii="微軟正黑體" w:hAnsi="微軟正黑體"/>
                <w:color w:val="1E1E1E"/>
                <w:sz w:val="18"/>
              </w:rPr>
              <w:t>【增量應收帳款資金成本】(ΔCarrying)</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+$78,904</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+$542,466</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+$670,685</w:t>
            </w:r>
          </w:p>
        </w:tc>
      </w:tr>
      <w:tr>
        <w:tc>
          <w:tcPr>
            <w:tcW w:type="dxa" w:w="3456"/>
            <w:shd w:fill="FFFFFF"/>
            <w:tcMar>
              <w:top w:w="100" w:type="dxa"/>
              <w:bottom w:w="100" w:type="dxa"/>
              <w:left w:w="120" w:type="dxa"/>
              <w:right w:w="120" w:type="dxa"/>
            </w:tcMar>
          </w:tcPr>
          <w:p>
            <w:pPr>
              <w:jc w:val="left"/>
            </w:pPr>
            <w:r>
              <w:rPr>
                <w:rFonts w:ascii="微軟正黑體" w:hAnsi="微軟正黑體"/>
                <w:color w:val="1E1E1E"/>
                <w:sz w:val="18"/>
              </w:rPr>
              <w:t>增量信用成本總額增加</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+$1,578,904</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+$1,172,466</w:t>
            </w:r>
          </w:p>
        </w:tc>
        <w:tc>
          <w:tcPr>
            <w:tcW w:type="dxa" w:w="2160"/>
            <w:shd w:fill="FFFFFF"/>
            <w:tcMar>
              <w:top w:w="100" w:type="dxa"/>
              <w:bottom w:w="100" w:type="dxa"/>
              <w:left w:w="120" w:type="dxa"/>
              <w:right w:w="120" w:type="dxa"/>
            </w:tcMar>
          </w:tcPr>
          <w:p>
            <w:pPr>
              <w:jc w:val="right"/>
            </w:pPr>
            <w:r>
              <w:rPr>
                <w:rFonts w:ascii="微軟正黑體" w:hAnsi="微軟正黑體"/>
                <w:color w:val="1E1E1E"/>
                <w:sz w:val="18"/>
              </w:rPr>
              <w:t>+$3,606,685</w:t>
            </w:r>
          </w:p>
        </w:tc>
      </w:tr>
      <w:tr>
        <w:tc>
          <w:tcPr>
            <w:tcW w:type="dxa" w:w="3456"/>
            <w:shd w:fill="F8FAFC"/>
            <w:tcMar>
              <w:top w:w="100" w:type="dxa"/>
              <w:bottom w:w="100" w:type="dxa"/>
              <w:left w:w="120" w:type="dxa"/>
              <w:right w:w="120" w:type="dxa"/>
            </w:tcMar>
          </w:tcPr>
          <w:p>
            <w:pPr>
              <w:jc w:val="left"/>
            </w:pPr>
            <w:r>
              <w:rPr>
                <w:rFonts w:ascii="微軟正黑體" w:hAnsi="微軟正黑體"/>
                <w:color w:val="1E1E1E"/>
                <w:sz w:val="18"/>
              </w:rPr>
              <w:t>【年度增量淨營業利潤】(ΔProfit)</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+$2,021,096</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+$3,327,534</w:t>
            </w:r>
          </w:p>
        </w:tc>
        <w:tc>
          <w:tcPr>
            <w:tcW w:type="dxa" w:w="2160"/>
            <w:shd w:fill="F8FAFC"/>
            <w:tcMar>
              <w:top w:w="100" w:type="dxa"/>
              <w:bottom w:w="100" w:type="dxa"/>
              <w:left w:w="120" w:type="dxa"/>
              <w:right w:w="120" w:type="dxa"/>
            </w:tcMar>
          </w:tcPr>
          <w:p>
            <w:pPr>
              <w:jc w:val="right"/>
            </w:pPr>
            <w:r>
              <w:rPr>
                <w:rFonts w:ascii="微軟正黑體" w:hAnsi="微軟正黑體"/>
                <w:color w:val="1E1E1E"/>
                <w:sz w:val="18"/>
              </w:rPr>
              <w:t>+$4,793,315</w:t>
            </w:r>
          </w:p>
        </w:tc>
      </w:tr>
    </w:tbl>
    <w:p>
      <w:pPr>
        <w:keepNext/>
        <w:spacing w:before="240" w:after="120"/>
      </w:pPr>
      <w:r>
        <w:rPr>
          <w:rFonts w:ascii="微軟正黑體" w:hAnsi="微軟正黑體"/>
          <w:b/>
          <w:color w:val="2C5E8A"/>
          <w:sz w:val="24"/>
        </w:rPr>
        <w:t>問題三解答：信用轉換淨現值（NPV）與最佳決策建議</w:t>
      </w:r>
    </w:p>
    <w:p>
      <w:pPr>
        <w:spacing w:before="0" w:after="120" w:line="276" w:lineRule="auto"/>
      </w:pPr>
      <w:r>
        <w:rPr>
          <w:rFonts w:ascii="微軟正黑體" w:hAnsi="微軟正黑體"/>
          <w:b w:val="0"/>
          <w:i w:val="0"/>
          <w:color w:val="222222"/>
          <w:sz w:val="20"/>
        </w:rPr>
        <w:t>1. 政策轉換淨現值（NPV）計算（以 $R = 8.0\%$ 永續折現）：</w:t>
        <w:br/>
        <w:t>$$\text{NPV} = \frac{\Delta \text{年度淨營業利潤}}{R}$$</w:t>
        <w:br/>
        <w:t>• 方案一淨現值：$\text{NPV}_1 = \frac{+\$2,021,096}{0.08} = +\$25,263,700 \text{ 美元 (約 2,526 萬美元)}$</w:t>
        <w:br/>
        <w:t>• 方案二淨現值：$\text{NPV}_2 = \frac{+\$3,327,534}{0.08} = +\$41,594,175 \text{ 美元 (約 4,159 萬美元)}$</w:t>
        <w:br/>
        <w:t>• 方案三淨現值：$\text{NPV}_3 = \frac{+\$4,793,315}{0.08} = +\$59,916,438 \text{ 美元 (約 5,992 萬美元)}$</w:t>
        <w:br/>
        <w:br/>
        <w:t>2. 決策推薦與綜合評價：</w:t>
        <w:br/>
        <w:t>• 方案 3 的增量毛利（+$840 萬美元）遠遠超過了壞帳增加額（$293.6 萬）與資金利息增加額（$67.1 萬），為公司創造高達【每年 479.3 萬美元的增量營業利潤】，其資本化淨現值高達近【6,000 萬美元】！</w:t>
        <w:br/>
        <w:t>• 方案 2 表現次之，方案 1 最末。</w:t>
        <w:br/>
        <w:t>【核心管理建議】：</w:t>
        <w:br/>
        <w:t>Howlett Industries 【應果斷採納方案三（同時放寬審查標準並延長信用期至 Net 45）】！目前的保守政策過度防範壞帳，實質上是以每年損失近 480 萬美元淨利潤的慘痛代價在保護帳面安全。放寬政策能徹底釋放公司的產能與市場潛力。</w:t>
      </w:r>
    </w:p>
    <w:p>
      <w:pPr>
        <w:keepNext/>
        <w:spacing w:before="240" w:after="120"/>
      </w:pPr>
      <w:r>
        <w:rPr>
          <w:rFonts w:ascii="微軟正黑體" w:hAnsi="微軟正黑體"/>
          <w:b/>
          <w:color w:val="2C5E8A"/>
          <w:sz w:val="24"/>
        </w:rPr>
        <w:t>問題四解答：壞帳率敏感度壓力測試與風險防範架構</w:t>
      </w:r>
    </w:p>
    <w:p>
      <w:pPr>
        <w:spacing w:before="0" w:after="120" w:line="276" w:lineRule="auto"/>
      </w:pPr>
      <w:r>
        <w:rPr>
          <w:rFonts w:ascii="微軟正黑體" w:hAnsi="微軟正黑體"/>
          <w:b w:val="0"/>
          <w:i w:val="0"/>
          <w:color w:val="222222"/>
          <w:sz w:val="20"/>
        </w:rPr>
        <w:t>1. 壞帳率敏感度壓力測試（Break-Even Default Rate）：</w:t>
        <w:br/>
        <w:t>在方案 3 下，何種壞帳率會使增量利潤歸零（回到現行政策水準）？</w:t>
        <w:br/>
        <w:t>令 $\Delta \text{利潤} = 0$：</w:t>
        <w:br/>
        <w:t>$$\text{增量毛利 } (\$8,400,000) - \text{增量資金成本 } (\$670,685) = \Delta \text{壞帳損失}$$</w:t>
        <w:br/>
        <w:t>$$\text{可承受之最大增量壞帳損失} = \$8,400,000 - \$670,685 = \$7,729,315$$</w:t>
        <w:br/>
        <w:t>$$\text{方案 3 可承受之總壞帳損失} = \text{原壞帳 } \$1,800,000 + \$7,729,315 = \$9,529,315$$</w:t>
        <w:br/>
        <w:t>$$\text{損益兩平壞帳率} = \frac{\$9,529,315}{\$148,000,000} \approx 6.44\%$$</w:t>
        <w:br/>
        <w:t>【壓力測試結論】：</w:t>
        <w:br/>
        <w:t>• 方案 3 的損益兩平壞帳率高達【6.44%】！</w:t>
        <w:br/>
        <w:t>• 即使景氣衰退使壞帳率從預期的 3.2% 攀升至 4.5%（壞帳額 $666 萬），方案 3 的年度增量利潤依然高達 +$287 萬美元；</w:t>
        <w:br/>
        <w:t>• 即使壞帳率飆升至 5.0%（壞帳額 $740 萬），方案 3 依然能帶來 +$213 萬美元的淨增量利潤！這證明方案 3 具備極強的抗風險安全邊際（Safety Margin）。</w:t>
        <w:br/>
        <w:br/>
        <w:t>2. 全面信用風險防範架構（The 5 C's of Credit &amp; Controls）：</w:t>
      </w:r>
    </w:p>
    <w:p>
      <w:pPr>
        <w:pStyle w:val="ListBullet"/>
        <w:spacing w:before="20" w:after="60" w:line="276" w:lineRule="auto"/>
      </w:pPr>
      <w:r>
        <w:rPr>
          <w:rFonts w:ascii="微軟正黑體" w:hAnsi="微軟正黑體"/>
          <w:b/>
          <w:color w:val="1B365D"/>
          <w:sz w:val="20"/>
        </w:rPr>
        <w:t>① 建立傳統 5C 信用評估矩陣：</w:t>
      </w:r>
      <w:r>
        <w:rPr>
          <w:rFonts w:ascii="微軟正黑體" w:hAnsi="微軟正黑體"/>
          <w:color w:val="282828"/>
          <w:sz w:val="20"/>
        </w:rPr>
        <w:t>• 品德 (Character)：客戶還款意願與同業付款信譽調查；</w:t>
        <w:br/>
        <w:t>• 能力 (Capacity)：審查客戶現金流量表，確保其具備足夠的營運現金還款；</w:t>
        <w:br/>
        <w:t>• 資本 (Capital)：審查客戶資產負債表淨值與財務槓桿比率；</w:t>
        <w:br/>
        <w:t>• 抵押品 (Collateral)：對高風險訂單要求設備所有權保留（Pledge）或個人連帶保證；</w:t>
        <w:br/>
        <w:t>• 經濟狀況 (Conditions)：密切監控客戶所處產業的宏觀景氣循環。</w:t>
      </w:r>
    </w:p>
    <w:p>
      <w:pPr>
        <w:pStyle w:val="ListBullet"/>
        <w:spacing w:before="20" w:after="60" w:line="276" w:lineRule="auto"/>
      </w:pPr>
      <w:r>
        <w:rPr>
          <w:rFonts w:ascii="微軟正黑體" w:hAnsi="微軟正黑體"/>
          <w:b/>
          <w:color w:val="1B365D"/>
          <w:sz w:val="20"/>
        </w:rPr>
        <w:t>② 動態信用評分卡（Credit Scoring）與分級授信限額：</w:t>
      </w:r>
      <w:r>
        <w:rPr>
          <w:rFonts w:ascii="微軟正黑體" w:hAnsi="微軟正黑體"/>
          <w:color w:val="282828"/>
          <w:sz w:val="20"/>
        </w:rPr>
        <w:t>針對不同評分的客戶設定差異化信用額度（Credit Limits）。高評分客戶給予完整 45 天與大額信用，邊際客戶則設定較低的信用天花板，防止單一客戶違約引發系統性壞帳。</w:t>
      </w:r>
    </w:p>
    <w:p>
      <w:pPr>
        <w:pStyle w:val="ListBullet"/>
        <w:spacing w:before="20" w:after="60" w:line="276" w:lineRule="auto"/>
      </w:pPr>
      <w:r>
        <w:rPr>
          <w:rFonts w:ascii="微軟正黑體" w:hAnsi="微軟正黑體"/>
          <w:b/>
          <w:color w:val="1B365D"/>
          <w:sz w:val="20"/>
        </w:rPr>
        <w:t>③ 嚴格執行應收帳款帳齡分析表（Aging Schedule）與催收預警：</w:t>
      </w:r>
      <w:r>
        <w:rPr>
          <w:rFonts w:ascii="微軟正黑體" w:hAnsi="微軟正黑體"/>
          <w:color w:val="282828"/>
          <w:sz w:val="20"/>
        </w:rPr>
        <w:t>將應收帳款劃分為 0~30 天、31~45 天、46~60 天、60 天以上四個級距。一旦逾期超過 15 天，系統自動凍結新訂單出貨並啟動法務催收，將壞帳風險牢牢鎖死在預期範圍內。</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財務管理課程教學教材 | 嚴謹推導．完整個案．教學解答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企業財務學精選個案教學指引與詳解 | 財務個案6：Howlett Industries 的信用政策評估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微軟正黑體" w:hAnsi="微軟正黑體"/>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微軟正黑體" w:hAnsi="微軟正黑體"/>
      <w:color w:val="8C8C8C"/>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