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Microsoft JhengHei" w:hAnsi="Microsoft JhengHei"/>
          <w:b/>
          <w:color w:val="0F172A"/>
          <w:sz w:val="40"/>
        </w:rPr>
        <w:t>企業氣候轉型中的財務迷霧：不同情境模擬與策略抉擇分析報告</w:t>
      </w:r>
    </w:p>
    <w:p>
      <w:pPr>
        <w:spacing w:after="360"/>
      </w:pPr>
      <w:r>
        <w:rPr>
          <w:rFonts w:ascii="Microsoft JhengHei" w:hAnsi="Microsoft JhengHei"/>
          <w:b/>
          <w:color w:val="166534"/>
          <w:sz w:val="24"/>
        </w:rPr>
        <w:t>個案研究：ABC電子代工企業之氣候風險傳導、資產負債表壓力測試與方案丁推導</w:t>
      </w:r>
    </w:p>
    <w:p>
      <w:pPr>
        <w:keepNext/>
        <w:spacing w:before="320" w:after="120"/>
      </w:pPr>
      <w:r>
        <w:rPr>
          <w:rFonts w:ascii="Microsoft JhengHei" w:hAnsi="Microsoft JhengHei"/>
          <w:b/>
          <w:color w:val="0F172A"/>
          <w:sz w:val="30"/>
        </w:rPr>
        <w:t>壹、個案核心背景與決策矛盾</w:t>
      </w:r>
    </w:p>
    <w:p>
      <w:pPr>
        <w:spacing w:before="0" w:after="120" w:line="300" w:lineRule="auto"/>
      </w:pPr>
      <w:r>
        <w:rPr>
          <w:rFonts w:ascii="Microsoft JhengHei" w:hAnsi="Microsoft JhengHei"/>
          <w:color w:val="334155"/>
          <w:sz w:val="21"/>
        </w:rPr>
        <w:t>ABC企業創立於1980年代，為全球領先之消費性電子代工服務（EMS/ODM）巨擘，年營業收入達120億美元，淨利8.8億美元（淨利率約7.3%）。公司資產總額100億美元，其中廠房及精密生產設備（PP&amp;E）淨值達60億美元，主要為高耗能、高碳排放之傳統生產線（即所謂「棕色資產」），目前背負長期借款25億美元與短期借款7億美元，年度碳排放量達200萬噸。</w:t>
      </w:r>
    </w:p>
    <w:p>
      <w:pPr>
        <w:spacing w:before="0" w:after="120" w:line="300" w:lineRule="auto"/>
      </w:pPr>
      <w:r>
        <w:rPr>
          <w:rFonts w:ascii="Microsoft JhengHei" w:hAnsi="Microsoft JhengHei"/>
          <w:color w:val="334155"/>
          <w:sz w:val="21"/>
        </w:rPr>
        <w:t>面對全球氣候法規收緊（歐盟CBAM碳稅每噸預估50美元）以及關鍵品牌大客戶（Apple、Samsung）通告要求在2025年底前達成30%減碳，ABC高階領導團隊爆發了激烈的路線衝突：</w:t>
      </w:r>
    </w:p>
    <w:p>
      <w:pPr>
        <w:spacing w:before="0" w:after="120" w:line="300" w:lineRule="auto"/>
      </w:pPr>
      <w:r>
        <w:rPr>
          <w:rFonts w:ascii="Microsoft JhengHei" w:hAnsi="Microsoft JhengHei"/>
          <w:b/>
          <w:color w:val="1E293B"/>
          <w:sz w:val="21"/>
        </w:rPr>
        <w:t>• 執行長 鍾建國（James Chung）：</w:t>
      </w:r>
      <w:r>
        <w:rPr>
          <w:rFonts w:ascii="Microsoft JhengHei" w:hAnsi="Microsoft JhengHei"/>
          <w:color w:val="334155"/>
          <w:sz w:val="21"/>
        </w:rPr>
        <w:t>工程背景務實派，認為代工利潤微薄（僅3%~5%），任何未帶來立即回報的巨額投資都會威脅企業生存，堅持「成本領先與規模經濟」。</w:t>
      </w:r>
    </w:p>
    <w:p>
      <w:pPr>
        <w:spacing w:before="0" w:after="120" w:line="300" w:lineRule="auto"/>
      </w:pPr>
      <w:r>
        <w:rPr>
          <w:rFonts w:ascii="Microsoft JhengHei" w:hAnsi="Microsoft JhengHei"/>
          <w:b/>
          <w:color w:val="1E293B"/>
          <w:sz w:val="21"/>
        </w:rPr>
        <w:t>• 財務長 林雅婷（Grace Lin）：</w:t>
      </w:r>
      <w:r>
        <w:rPr>
          <w:rFonts w:ascii="Microsoft JhengHei" w:hAnsi="Microsoft JhengHei"/>
          <w:color w:val="334155"/>
          <w:sz w:val="21"/>
        </w:rPr>
        <w:t>經驗豐富之財務專家，聚焦現金流安全與負債比率。若完全不轉型將被銀行調升0.5%利率；但若盲目投入2.5億自購設備，將使長期借款升至26億且拉長回收期，極易引發流動性吃緊。</w:t>
      </w:r>
    </w:p>
    <w:p>
      <w:pPr>
        <w:spacing w:before="0" w:after="120" w:line="300" w:lineRule="auto"/>
      </w:pPr>
      <w:r>
        <w:rPr>
          <w:rFonts w:ascii="Microsoft JhengHei" w:hAnsi="Microsoft JhengHei"/>
          <w:b/>
          <w:color w:val="1E293B"/>
          <w:sz w:val="21"/>
        </w:rPr>
        <w:t>• 永續長 陳維明（David Chen）：</w:t>
      </w:r>
      <w:r>
        <w:rPr>
          <w:rFonts w:ascii="Microsoft JhengHei" w:hAnsi="Microsoft JhengHei"/>
          <w:color w:val="334155"/>
          <w:sz w:val="21"/>
        </w:rPr>
        <w:t>堅信低碳是唯一出路。若不轉型將被客戶直接砍單5%至10%（每年損失6億至12億營收），高排碳設備將淪為「擱淺資產」，主張立刻投入2.5億全面升級。</w:t>
      </w:r>
    </w:p>
    <w:p>
      <w:pPr>
        <w:keepNext/>
        <w:spacing w:before="320" w:after="120"/>
      </w:pPr>
      <w:r>
        <w:rPr>
          <w:rFonts w:ascii="Microsoft JhengHei" w:hAnsi="Microsoft JhengHei"/>
          <w:b/>
          <w:color w:val="0F172A"/>
          <w:sz w:val="30"/>
        </w:rPr>
        <w:t>貳、現有分析之盲點與既有假設局限</w:t>
      </w:r>
    </w:p>
    <w:p>
      <w:pPr>
        <w:spacing w:before="0" w:after="120" w:line="300" w:lineRule="auto"/>
      </w:pPr>
      <w:r>
        <w:rPr>
          <w:rFonts w:ascii="Microsoft JhengHei" w:hAnsi="Microsoft JhengHei"/>
          <w:color w:val="334155"/>
          <w:sz w:val="21"/>
        </w:rPr>
        <w:t>在既有的個案本文與教學指引中，通常將「方案丙（積極前瞻型）」視為標準答案，但深入檢視真實產業環境，現有分析存在四大關鍵盲點：</w:t>
      </w:r>
    </w:p>
    <w:p>
      <w:pPr>
        <w:spacing w:before="0" w:after="120" w:line="300" w:lineRule="auto"/>
      </w:pPr>
      <w:r>
        <w:rPr>
          <w:rFonts w:ascii="Microsoft JhengHei" w:hAnsi="Microsoft JhengHei"/>
          <w:b/>
          <w:color w:val="1E293B"/>
          <w:sz w:val="21"/>
        </w:rPr>
        <w:t>1. 減碳成效與客戶時間表脫節：</w:t>
      </w:r>
      <w:r>
        <w:rPr>
          <w:rFonts w:ascii="Microsoft JhengHei" w:hAnsi="Microsoft JhengHei"/>
          <w:color w:val="334155"/>
          <w:sz w:val="21"/>
        </w:rPr>
        <w:t>大客戶明定2025年底前要求減碳30%，但原方案丙投入2.5億美元僅能降低10%碳排（碳稅降至9,000萬）。換言之，方案丙僅是過渡防禦，在2025年依然面臨未達標被扣罰甚至被砍單的重大風險。</w:t>
      </w:r>
    </w:p>
    <w:p>
      <w:pPr>
        <w:spacing w:before="0" w:after="120" w:line="300" w:lineRule="auto"/>
      </w:pPr>
      <w:r>
        <w:rPr>
          <w:rFonts w:ascii="Microsoft JhengHei" w:hAnsi="Microsoft JhengHei"/>
          <w:b/>
          <w:color w:val="1E293B"/>
          <w:sz w:val="21"/>
        </w:rPr>
        <w:t>2. 忽視對手動態與標準軍備競賽：</w:t>
      </w:r>
      <w:r>
        <w:rPr>
          <w:rFonts w:ascii="Microsoft JhengHei" w:hAnsi="Microsoft JhengHei"/>
          <w:color w:val="334155"/>
          <w:sz w:val="21"/>
        </w:rPr>
        <w:t>個案假設ABC轉型即可高枕無憂，但忽視了富士康、和碩、廣達等對手亦在積極佈局RE100。若競爭對手減排達到25%，ABC的10%減碳將失去溢價優勢。</w:t>
      </w:r>
    </w:p>
    <w:p>
      <w:pPr>
        <w:spacing w:before="0" w:after="120" w:line="300" w:lineRule="auto"/>
      </w:pPr>
      <w:r>
        <w:rPr>
          <w:rFonts w:ascii="Microsoft JhengHei" w:hAnsi="Microsoft JhengHei"/>
          <w:b/>
          <w:color w:val="1E293B"/>
          <w:sz w:val="21"/>
        </w:rPr>
        <w:t>3. 重資產自籌承擔全部風險：</w:t>
      </w:r>
      <w:r>
        <w:rPr>
          <w:rFonts w:ascii="Microsoft JhengHei" w:hAnsi="Microsoft JhengHei"/>
          <w:color w:val="334155"/>
          <w:sz w:val="21"/>
        </w:rPr>
        <w:t>方案丙將2.5億美元全數列為內部重資產自購（增發1億綠債+1.5億借款），使資產負債表槓桿攀升，完全忽略了現代製造業可運用的ESCO節能租賃或客戶共投模式。</w:t>
      </w:r>
    </w:p>
    <w:p>
      <w:pPr>
        <w:spacing w:before="0" w:after="120" w:line="300" w:lineRule="auto"/>
      </w:pPr>
      <w:r>
        <w:rPr>
          <w:rFonts w:ascii="Microsoft JhengHei" w:hAnsi="Microsoft JhengHei"/>
          <w:b/>
          <w:color w:val="1E293B"/>
          <w:sz w:val="21"/>
        </w:rPr>
        <w:t>4. 低估流動性與良率風險：</w:t>
      </w:r>
      <w:r>
        <w:rPr>
          <w:rFonts w:ascii="Microsoft JhengHei" w:hAnsi="Microsoft JhengHei"/>
          <w:color w:val="334155"/>
          <w:sz w:val="21"/>
        </w:rPr>
        <w:t>精密代工產線更換需要良率爬坡期，若設備交期延誤或高利率持續，期末現金被壓縮至脆弱水位，極易引發營運資金斷鏈。</w:t>
      </w:r>
    </w:p>
    <w:p>
      <w:pPr>
        <w:keepNext/>
        <w:spacing w:before="320" w:after="120"/>
      </w:pPr>
      <w:r>
        <w:rPr>
          <w:rFonts w:ascii="Microsoft JhengHei" w:hAnsi="Microsoft JhengHei"/>
          <w:b/>
          <w:color w:val="0F172A"/>
          <w:sz w:val="30"/>
        </w:rPr>
        <w:t>參、四大全新情境模擬與策略影響分析</w:t>
      </w:r>
    </w:p>
    <w:p>
      <w:pPr>
        <w:keepNext/>
        <w:spacing w:before="220" w:after="80"/>
      </w:pPr>
      <w:r>
        <w:rPr>
          <w:rFonts w:ascii="Microsoft JhengHei" w:hAnsi="Microsoft JhengHei"/>
          <w:b/>
          <w:color w:val="15803D"/>
          <w:sz w:val="25"/>
        </w:rPr>
        <w:t>情境一：碳稅風暴與棕色資產強迫減損（Carbon Shock &amp; Asset Impairment）</w:t>
      </w:r>
    </w:p>
    <w:p>
      <w:pPr>
        <w:spacing w:before="0" w:after="120" w:line="300" w:lineRule="auto"/>
      </w:pPr>
      <w:r>
        <w:rPr>
          <w:rFonts w:ascii="Microsoft JhengHei" w:hAnsi="Microsoft JhengHei"/>
          <w:color w:val="334155"/>
          <w:sz w:val="21"/>
        </w:rPr>
        <w:t>【情境設定】：歐盟CBAM與全球主要市場加速推進，碳稅單價跳升至每噸100美元。因法規嚴苛，會計師與審計委員會強制要求對未達綠色標準的傳統生產線提列「棕色資產減損損失」8億美元。大客戶因ABC未達成全面低碳，執行5%訂單削減。</w:t>
      </w:r>
    </w:p>
    <w:p>
      <w:pPr>
        <w:spacing w:before="0" w:after="120" w:line="300" w:lineRule="auto"/>
      </w:pPr>
      <w:r>
        <w:rPr>
          <w:rFonts w:ascii="Microsoft JhengHei" w:hAnsi="Microsoft JhengHei"/>
          <w:color w:val="334155"/>
          <w:sz w:val="21"/>
        </w:rPr>
        <w:t>【財務影響】：營業成本中碳稅暴增至1.8億美元，加計8億一次性資產減損，本期淨利崩跌至嚴重虧損（-2.8億美元）。固定資產（PP&amp;E）由60億萎縮至52億，保留盈餘大幅縮水，負債比率由42%飆升至51.5%，直接踩中銀行團聯貸合約「負債比不得超過45%」的違約紅線（Covenant Breach）。</w:t>
      </w:r>
    </w:p>
    <w:p>
      <w:pPr>
        <w:spacing w:before="0" w:after="120" w:line="300" w:lineRule="auto"/>
      </w:pPr>
      <w:r>
        <w:rPr>
          <w:rFonts w:ascii="Microsoft JhengHei" w:hAnsi="Microsoft JhengHei"/>
          <w:color w:val="334155"/>
          <w:sz w:val="21"/>
        </w:rPr>
        <w:t>【策略啟示】：單純自購節能設備（減碳10%）無法抵抗碳稅風暴。ABC必須啟動「深綠供應鏈聯盟」，簽署長期綠電採購協議（CPPA）與循環再生材料替換，並主動對棕色資產實施加速折舊。</w:t>
      </w:r>
    </w:p>
    <w:p>
      <w:pPr>
        <w:keepNext/>
        <w:spacing w:before="220" w:after="80"/>
      </w:pPr>
      <w:r>
        <w:rPr>
          <w:rFonts w:ascii="Microsoft JhengHei" w:hAnsi="Microsoft JhengHei"/>
          <w:b/>
          <w:color w:val="15803D"/>
          <w:sz w:val="25"/>
        </w:rPr>
        <w:t>情境二：流動性擠壓與高利率逆風（Liquidity Squeeze Scenario）</w:t>
      </w:r>
    </w:p>
    <w:p>
      <w:pPr>
        <w:spacing w:before="0" w:after="120" w:line="300" w:lineRule="auto"/>
      </w:pPr>
      <w:r>
        <w:rPr>
          <w:rFonts w:ascii="Microsoft JhengHei" w:hAnsi="Microsoft JhengHei"/>
          <w:color w:val="334155"/>
          <w:sz w:val="21"/>
        </w:rPr>
        <w:t>【情境設定】：全球利率維持「更高更久（Higher-for-Longer）」，綠色債券溢價消失，基準融資利率上升1.5%。同時，方案丙的2億產線改造在潔淨室導入時遭遇良率不順，資本支出實際超支20%（達3.2億美元）。</w:t>
      </w:r>
    </w:p>
    <w:p>
      <w:pPr>
        <w:spacing w:before="0" w:after="120" w:line="300" w:lineRule="auto"/>
      </w:pPr>
      <w:r>
        <w:rPr>
          <w:rFonts w:ascii="Microsoft JhengHei" w:hAnsi="Microsoft JhengHei"/>
          <w:color w:val="334155"/>
          <w:sz w:val="21"/>
        </w:rPr>
        <w:t>【財務影響】：利息費用飆升至1.4億美元以上。期末現金餘額由8億美元急遽失血至3.2億美元（跌破公司月營運資金的安全紅線）。林財務長被迫緊急向銀行申請短期流動性借款，流動比率由2.06驟降至1.45。</w:t>
      </w:r>
    </w:p>
    <w:p>
      <w:pPr>
        <w:spacing w:before="0" w:after="120" w:line="300" w:lineRule="auto"/>
      </w:pPr>
      <w:r>
        <w:rPr>
          <w:rFonts w:ascii="Microsoft JhengHei" w:hAnsi="Microsoft JhengHei"/>
          <w:color w:val="334155"/>
          <w:sz w:val="21"/>
        </w:rPr>
        <w:t>【策略啟示】：重資產自購模式在逆風期極度危險。方案乙展現出防禦彈性，但真正治本之道是將重資本轉向「ESCO節能績效合約」以保全流動性儲備。</w:t>
      </w:r>
    </w:p>
    <w:p>
      <w:pPr>
        <w:keepNext/>
        <w:spacing w:before="220" w:after="80"/>
      </w:pPr>
      <w:r>
        <w:rPr>
          <w:rFonts w:ascii="Microsoft JhengHei" w:hAnsi="Microsoft JhengHei"/>
          <w:b/>
          <w:color w:val="15803D"/>
          <w:sz w:val="25"/>
        </w:rPr>
        <w:t>情境三：綠色軍備競賽——搶奪轉單之良性擴張（Green Arms Race Winner）</w:t>
      </w:r>
    </w:p>
    <w:p>
      <w:pPr>
        <w:spacing w:before="0" w:after="120" w:line="300" w:lineRule="auto"/>
      </w:pPr>
      <w:r>
        <w:rPr>
          <w:rFonts w:ascii="Microsoft JhengHei" w:hAnsi="Microsoft JhengHei"/>
          <w:color w:val="334155"/>
          <w:sz w:val="21"/>
        </w:rPr>
        <w:t>【情境設定】：競爭對手因轉型遲緩遭國際大客戶懲罰，Apple與Samsung啟動供應商集中化政策，將落後者的訂單轉單給積極達標的ABC。ABC於2024年營業收入逆勢增長10%，突破至132億美元。</w:t>
      </w:r>
    </w:p>
    <w:p>
      <w:pPr>
        <w:spacing w:before="0" w:after="120" w:line="300" w:lineRule="auto"/>
      </w:pPr>
      <w:r>
        <w:rPr>
          <w:rFonts w:ascii="Microsoft JhengHei" w:hAnsi="Microsoft JhengHei"/>
          <w:color w:val="334155"/>
          <w:sz w:val="21"/>
        </w:rPr>
        <w:t>【財務影響】：規模經濟全面爆發，營業收入達132億美元，本期稅後淨利衝破10.5億美元。營運現金流充沛，期末現金攀升至10.5億美元以上。總資產擴充至106億美元，負債比率降至38.5%，實現健康的「主動去槓桿」，獲得國際信評機構調升評等。</w:t>
      </w:r>
    </w:p>
    <w:p>
      <w:pPr>
        <w:spacing w:before="0" w:after="120" w:line="300" w:lineRule="auto"/>
      </w:pPr>
      <w:r>
        <w:rPr>
          <w:rFonts w:ascii="Microsoft JhengHei" w:hAnsi="Microsoft JhengHei"/>
          <w:color w:val="334155"/>
          <w:sz w:val="21"/>
        </w:rPr>
        <w:t>【策略啟示】：綠色轉型在EMS領域具備強烈「大者恆大」網絡效應。折衷的方案乙最為危險（既花錢又無法擠入前段班），企業應採取進攻型策略，提供「綠色代工代收認證服務（Green-as-a-Service）」，反向鎖定客戶高毛利旗艦訂單。</w:t>
      </w:r>
    </w:p>
    <w:p>
      <w:pPr>
        <w:keepNext/>
        <w:spacing w:before="220" w:after="80"/>
      </w:pPr>
      <w:r>
        <w:rPr>
          <w:rFonts w:ascii="Microsoft JhengHei" w:hAnsi="Microsoft JhengHei"/>
          <w:b/>
          <w:color w:val="15803D"/>
          <w:sz w:val="25"/>
        </w:rPr>
        <w:t>情境四：AI 算力能耗悖論與綠電瓶頸（AI Power Paradox Scenario）</w:t>
      </w:r>
    </w:p>
    <w:p>
      <w:pPr>
        <w:spacing w:before="0" w:after="120" w:line="300" w:lineRule="auto"/>
      </w:pPr>
      <w:r>
        <w:rPr>
          <w:rFonts w:ascii="Microsoft JhengHei" w:hAnsi="Microsoft JhengHei"/>
          <w:color w:val="334155"/>
          <w:sz w:val="21"/>
        </w:rPr>
        <w:t>【情境設定】：高階AI終端與伺服器代工訂單大量湧入，但單機生產能耗較傳統機種激增40%。與此同時，越南與印度廠區面臨電網不穩與綠電憑證（REC）短缺，綠電價格暴漲50%。</w:t>
      </w:r>
    </w:p>
    <w:p>
      <w:pPr>
        <w:spacing w:before="0" w:after="120" w:line="300" w:lineRule="auto"/>
      </w:pPr>
      <w:r>
        <w:rPr>
          <w:rFonts w:ascii="Microsoft JhengHei" w:hAnsi="Microsoft JhengHei"/>
          <w:color w:val="334155"/>
          <w:sz w:val="21"/>
        </w:rPr>
        <w:t>【財務影響】：雖然更換了節能產線，但全廠總用電量不降反增，年碳排攀升至240萬噸，節電省減被高昂綠電溢價抵銷，面臨「單位產能碳強度達標，但總碳稅成本暴增」的矛盾。</w:t>
      </w:r>
    </w:p>
    <w:p>
      <w:pPr>
        <w:spacing w:before="0" w:after="120" w:line="300" w:lineRule="auto"/>
      </w:pPr>
      <w:r>
        <w:rPr>
          <w:rFonts w:ascii="Microsoft JhengHei" w:hAnsi="Microsoft JhengHei"/>
          <w:color w:val="334155"/>
          <w:sz w:val="21"/>
        </w:rPr>
        <w:t>【策略啟示】：ABC必須在代工合約中導入「碳成本轉嫁機制（Carbon Pass-Through Clause）」，要求客戶依算力與能耗強度共同分攤綠電溢價與碳稅。</w:t>
      </w:r>
    </w:p>
    <w:p>
      <w:pPr>
        <w:keepNext/>
        <w:spacing w:before="320" w:after="120"/>
      </w:pPr>
      <w:r>
        <w:rPr>
          <w:rFonts w:ascii="Microsoft JhengHei" w:hAnsi="Microsoft JhengHei"/>
          <w:b/>
          <w:color w:val="0F172A"/>
          <w:sz w:val="30"/>
        </w:rPr>
        <w:t>肆、不同情境下資產負債表（Balance Sheet）之結構變化</w:t>
      </w:r>
    </w:p>
    <w:p>
      <w:pPr>
        <w:spacing w:before="0" w:after="120" w:line="300" w:lineRule="auto"/>
      </w:pPr>
      <w:r>
        <w:rPr>
          <w:rFonts w:ascii="Microsoft JhengHei" w:hAnsi="Microsoft JhengHei"/>
          <w:color w:val="334155"/>
          <w:sz w:val="21"/>
        </w:rPr>
        <w:t>下表呈現基準財報、既有三大方案及全新極端情境之資產負債結構推估（單位：億美元）：</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66534"/>
            <w:tcMar>
              <w:top w:w="120" w:type="dxa"/>
              <w:bottom w:w="120" w:type="dxa"/>
              <w:left w:w="100" w:type="dxa"/>
              <w:right w:w="100" w:type="dxa"/>
            </w:tcMar>
          </w:tcPr>
          <w:p>
            <w:r>
              <w:rPr>
                <w:rFonts w:ascii="Microsoft JhengHei" w:hAnsi="Microsoft JhengHei"/>
                <w:b/>
                <w:color w:val="FFFFFF"/>
                <w:sz w:val="19"/>
              </w:rPr>
              <w:t>資產負債表科目</w:t>
            </w:r>
          </w:p>
        </w:tc>
        <w:tc>
          <w:tcPr>
            <w:tcW w:type="dxa" w:w="1560"/>
            <w:shd w:fill="166534"/>
            <w:tcMar>
              <w:top w:w="120" w:type="dxa"/>
              <w:bottom w:w="120" w:type="dxa"/>
              <w:left w:w="100" w:type="dxa"/>
              <w:right w:w="100" w:type="dxa"/>
            </w:tcMar>
          </w:tcPr>
          <w:p>
            <w:r>
              <w:rPr>
                <w:rFonts w:ascii="Microsoft JhengHei" w:hAnsi="Microsoft JhengHei"/>
                <w:b/>
                <w:color w:val="FFFFFF"/>
                <w:sz w:val="19"/>
              </w:rPr>
              <w:t>2023 基準</w:t>
            </w:r>
          </w:p>
        </w:tc>
        <w:tc>
          <w:tcPr>
            <w:tcW w:type="dxa" w:w="1560"/>
            <w:shd w:fill="166534"/>
            <w:tcMar>
              <w:top w:w="120" w:type="dxa"/>
              <w:bottom w:w="120" w:type="dxa"/>
              <w:left w:w="100" w:type="dxa"/>
              <w:right w:w="100" w:type="dxa"/>
            </w:tcMar>
          </w:tcPr>
          <w:p>
            <w:r>
              <w:rPr>
                <w:rFonts w:ascii="Microsoft JhengHei" w:hAnsi="Microsoft JhengHei"/>
                <w:b/>
                <w:color w:val="FFFFFF"/>
                <w:sz w:val="19"/>
              </w:rPr>
              <w:t>方案甲 (保守)</w:t>
            </w:r>
          </w:p>
        </w:tc>
        <w:tc>
          <w:tcPr>
            <w:tcW w:type="dxa" w:w="1560"/>
            <w:shd w:fill="166534"/>
            <w:tcMar>
              <w:top w:w="120" w:type="dxa"/>
              <w:bottom w:w="120" w:type="dxa"/>
              <w:left w:w="100" w:type="dxa"/>
              <w:right w:w="100" w:type="dxa"/>
            </w:tcMar>
          </w:tcPr>
          <w:p>
            <w:r>
              <w:rPr>
                <w:rFonts w:ascii="Microsoft JhengHei" w:hAnsi="Microsoft JhengHei"/>
                <w:b/>
                <w:color w:val="FFFFFF"/>
                <w:sz w:val="19"/>
              </w:rPr>
              <w:t>方案丙 (積極)</w:t>
            </w:r>
          </w:p>
        </w:tc>
        <w:tc>
          <w:tcPr>
            <w:tcW w:type="dxa" w:w="1560"/>
            <w:shd w:fill="166534"/>
            <w:tcMar>
              <w:top w:w="120" w:type="dxa"/>
              <w:bottom w:w="120" w:type="dxa"/>
              <w:left w:w="100" w:type="dxa"/>
              <w:right w:w="100" w:type="dxa"/>
            </w:tcMar>
          </w:tcPr>
          <w:p>
            <w:r>
              <w:rPr>
                <w:rFonts w:ascii="Microsoft JhengHei" w:hAnsi="Microsoft JhengHei"/>
                <w:b/>
                <w:color w:val="FFFFFF"/>
                <w:sz w:val="19"/>
              </w:rPr>
              <w:t>情境一 (減損)</w:t>
            </w:r>
          </w:p>
        </w:tc>
        <w:tc>
          <w:tcPr>
            <w:tcW w:type="dxa" w:w="1560"/>
            <w:shd w:fill="166534"/>
            <w:tcMar>
              <w:top w:w="120" w:type="dxa"/>
              <w:bottom w:w="120" w:type="dxa"/>
              <w:left w:w="100" w:type="dxa"/>
              <w:right w:w="100" w:type="dxa"/>
            </w:tcMar>
          </w:tcPr>
          <w:p>
            <w:r>
              <w:rPr>
                <w:rFonts w:ascii="Microsoft JhengHei" w:hAnsi="Microsoft JhengHei"/>
                <w:b/>
                <w:color w:val="FFFFFF"/>
                <w:sz w:val="19"/>
              </w:rPr>
              <w:t>方案丁 (輕資產)</w:t>
            </w:r>
          </w:p>
        </w:tc>
      </w:tr>
      <w:tr>
        <w:tc>
          <w:tcPr>
            <w:tcW w:type="dxa" w:w="1560"/>
            <w:tcMar>
              <w:top w:w="80" w:type="dxa"/>
              <w:bottom w:w="80" w:type="dxa"/>
              <w:left w:w="80" w:type="dxa"/>
              <w:right w:w="80" w:type="dxa"/>
            </w:tcMar>
          </w:tcPr>
          <w:p>
            <w:r>
              <w:rPr>
                <w:rFonts w:ascii="Microsoft JhengHei" w:hAnsi="Microsoft JhengHei"/>
                <w:b/>
                <w:sz w:val="18"/>
              </w:rPr>
              <w:t>現金及約當現金</w:t>
            </w:r>
          </w:p>
        </w:tc>
        <w:tc>
          <w:tcPr>
            <w:tcW w:type="dxa" w:w="1560"/>
            <w:tcMar>
              <w:top w:w="80" w:type="dxa"/>
              <w:bottom w:w="80" w:type="dxa"/>
              <w:left w:w="80" w:type="dxa"/>
              <w:right w:w="80" w:type="dxa"/>
            </w:tcMar>
          </w:tcPr>
          <w:p>
            <w:r>
              <w:rPr>
                <w:rFonts w:ascii="Microsoft JhengHei" w:hAnsi="Microsoft JhengHei"/>
                <w:sz w:val="18"/>
              </w:rPr>
              <w:t>8.00</w:t>
            </w:r>
          </w:p>
        </w:tc>
        <w:tc>
          <w:tcPr>
            <w:tcW w:type="dxa" w:w="1560"/>
            <w:tcMar>
              <w:top w:w="80" w:type="dxa"/>
              <w:bottom w:w="80" w:type="dxa"/>
              <w:left w:w="80" w:type="dxa"/>
              <w:right w:w="80" w:type="dxa"/>
            </w:tcMar>
          </w:tcPr>
          <w:p>
            <w:r>
              <w:rPr>
                <w:rFonts w:ascii="Microsoft JhengHei" w:hAnsi="Microsoft JhengHei"/>
                <w:sz w:val="18"/>
              </w:rPr>
              <w:t>6.50</w:t>
            </w:r>
          </w:p>
        </w:tc>
        <w:tc>
          <w:tcPr>
            <w:tcW w:type="dxa" w:w="1560"/>
            <w:tcMar>
              <w:top w:w="80" w:type="dxa"/>
              <w:bottom w:w="80" w:type="dxa"/>
              <w:left w:w="80" w:type="dxa"/>
              <w:right w:w="80" w:type="dxa"/>
            </w:tcMar>
          </w:tcPr>
          <w:p>
            <w:r>
              <w:rPr>
                <w:rFonts w:ascii="Microsoft JhengHei" w:hAnsi="Microsoft JhengHei"/>
                <w:sz w:val="18"/>
              </w:rPr>
              <w:t>5.80</w:t>
            </w:r>
          </w:p>
        </w:tc>
        <w:tc>
          <w:tcPr>
            <w:tcW w:type="dxa" w:w="1560"/>
            <w:tcMar>
              <w:top w:w="80" w:type="dxa"/>
              <w:bottom w:w="80" w:type="dxa"/>
              <w:left w:w="80" w:type="dxa"/>
              <w:right w:w="80" w:type="dxa"/>
            </w:tcMar>
          </w:tcPr>
          <w:p>
            <w:r>
              <w:rPr>
                <w:rFonts w:ascii="Microsoft JhengHei" w:hAnsi="Microsoft JhengHei"/>
                <w:color w:val="BE123C"/>
                <w:sz w:val="18"/>
              </w:rPr>
              <w:t>4.00 (危急)</w:t>
            </w:r>
          </w:p>
        </w:tc>
        <w:tc>
          <w:tcPr>
            <w:tcW w:type="dxa" w:w="1560"/>
            <w:tcMar>
              <w:top w:w="80" w:type="dxa"/>
              <w:bottom w:w="80" w:type="dxa"/>
              <w:left w:w="80" w:type="dxa"/>
              <w:right w:w="80" w:type="dxa"/>
            </w:tcMar>
          </w:tcPr>
          <w:p>
            <w:r>
              <w:rPr>
                <w:rFonts w:ascii="Microsoft JhengHei" w:hAnsi="Microsoft JhengHei"/>
                <w:b/>
                <w:color w:val="15803D"/>
                <w:sz w:val="18"/>
              </w:rPr>
              <w:t>8.50 (最充沛)</w:t>
            </w:r>
          </w:p>
        </w:tc>
      </w:tr>
      <w:tr>
        <w:tc>
          <w:tcPr>
            <w:tcW w:type="dxa" w:w="1560"/>
            <w:tcMar>
              <w:top w:w="80" w:type="dxa"/>
              <w:bottom w:w="80" w:type="dxa"/>
              <w:left w:w="80" w:type="dxa"/>
              <w:right w:w="80" w:type="dxa"/>
            </w:tcMar>
          </w:tcPr>
          <w:p>
            <w:r>
              <w:rPr>
                <w:rFonts w:ascii="Microsoft JhengHei" w:hAnsi="Microsoft JhengHei"/>
                <w:b/>
                <w:sz w:val="18"/>
              </w:rPr>
              <w:t>應收帳款與存貨</w:t>
            </w:r>
          </w:p>
        </w:tc>
        <w:tc>
          <w:tcPr>
            <w:tcW w:type="dxa" w:w="1560"/>
            <w:tcMar>
              <w:top w:w="80" w:type="dxa"/>
              <w:bottom w:w="80" w:type="dxa"/>
              <w:left w:w="80" w:type="dxa"/>
              <w:right w:w="80" w:type="dxa"/>
            </w:tcMar>
          </w:tcPr>
          <w:p>
            <w:r>
              <w:rPr>
                <w:rFonts w:ascii="Microsoft JhengHei" w:hAnsi="Microsoft JhengHei"/>
                <w:sz w:val="18"/>
              </w:rPr>
              <w:t>27.00</w:t>
            </w:r>
          </w:p>
        </w:tc>
        <w:tc>
          <w:tcPr>
            <w:tcW w:type="dxa" w:w="1560"/>
            <w:tcMar>
              <w:top w:w="80" w:type="dxa"/>
              <w:bottom w:w="80" w:type="dxa"/>
              <w:left w:w="80" w:type="dxa"/>
              <w:right w:w="80" w:type="dxa"/>
            </w:tcMar>
          </w:tcPr>
          <w:p>
            <w:r>
              <w:rPr>
                <w:rFonts w:ascii="Microsoft JhengHei" w:hAnsi="Microsoft JhengHei"/>
                <w:sz w:val="18"/>
              </w:rPr>
              <w:t>25.65</w:t>
            </w:r>
          </w:p>
        </w:tc>
        <w:tc>
          <w:tcPr>
            <w:tcW w:type="dxa" w:w="1560"/>
            <w:tcMar>
              <w:top w:w="80" w:type="dxa"/>
              <w:bottom w:w="80" w:type="dxa"/>
              <w:left w:w="80" w:type="dxa"/>
              <w:right w:w="80" w:type="dxa"/>
            </w:tcMar>
          </w:tcPr>
          <w:p>
            <w:r>
              <w:rPr>
                <w:rFonts w:ascii="Microsoft JhengHei" w:hAnsi="Microsoft JhengHei"/>
                <w:sz w:val="18"/>
              </w:rPr>
              <w:t>27.00</w:t>
            </w:r>
          </w:p>
        </w:tc>
        <w:tc>
          <w:tcPr>
            <w:tcW w:type="dxa" w:w="1560"/>
            <w:tcMar>
              <w:top w:w="80" w:type="dxa"/>
              <w:bottom w:w="80" w:type="dxa"/>
              <w:left w:w="80" w:type="dxa"/>
              <w:right w:w="80" w:type="dxa"/>
            </w:tcMar>
          </w:tcPr>
          <w:p>
            <w:r>
              <w:rPr>
                <w:rFonts w:ascii="Microsoft JhengHei" w:hAnsi="Microsoft JhengHei"/>
                <w:sz w:val="18"/>
              </w:rPr>
              <w:t>25.65</w:t>
            </w:r>
          </w:p>
        </w:tc>
        <w:tc>
          <w:tcPr>
            <w:tcW w:type="dxa" w:w="1560"/>
            <w:tcMar>
              <w:top w:w="80" w:type="dxa"/>
              <w:bottom w:w="80" w:type="dxa"/>
              <w:left w:w="80" w:type="dxa"/>
              <w:right w:w="80" w:type="dxa"/>
            </w:tcMar>
          </w:tcPr>
          <w:p>
            <w:r>
              <w:rPr>
                <w:rFonts w:ascii="Microsoft JhengHei" w:hAnsi="Microsoft JhengHei"/>
                <w:sz w:val="18"/>
              </w:rPr>
              <w:t>27.00</w:t>
            </w:r>
          </w:p>
        </w:tc>
      </w:tr>
      <w:tr>
        <w:tc>
          <w:tcPr>
            <w:tcW w:type="dxa" w:w="1560"/>
            <w:tcMar>
              <w:top w:w="80" w:type="dxa"/>
              <w:bottom w:w="80" w:type="dxa"/>
              <w:left w:w="80" w:type="dxa"/>
              <w:right w:w="80" w:type="dxa"/>
            </w:tcMar>
          </w:tcPr>
          <w:p>
            <w:r>
              <w:rPr>
                <w:rFonts w:ascii="Microsoft JhengHei" w:hAnsi="Microsoft JhengHei"/>
                <w:b/>
                <w:sz w:val="18"/>
              </w:rPr>
              <w:t>流動資產合計</w:t>
            </w:r>
          </w:p>
        </w:tc>
        <w:tc>
          <w:tcPr>
            <w:tcW w:type="dxa" w:w="1560"/>
            <w:tcMar>
              <w:top w:w="80" w:type="dxa"/>
              <w:bottom w:w="80" w:type="dxa"/>
              <w:left w:w="80" w:type="dxa"/>
              <w:right w:w="80" w:type="dxa"/>
            </w:tcMar>
          </w:tcPr>
          <w:p>
            <w:r>
              <w:rPr>
                <w:rFonts w:ascii="Microsoft JhengHei" w:hAnsi="Microsoft JhengHei"/>
                <w:sz w:val="18"/>
              </w:rPr>
              <w:t>35.00</w:t>
            </w:r>
          </w:p>
        </w:tc>
        <w:tc>
          <w:tcPr>
            <w:tcW w:type="dxa" w:w="1560"/>
            <w:tcMar>
              <w:top w:w="80" w:type="dxa"/>
              <w:bottom w:w="80" w:type="dxa"/>
              <w:left w:w="80" w:type="dxa"/>
              <w:right w:w="80" w:type="dxa"/>
            </w:tcMar>
          </w:tcPr>
          <w:p>
            <w:r>
              <w:rPr>
                <w:rFonts w:ascii="Microsoft JhengHei" w:hAnsi="Microsoft JhengHei"/>
                <w:sz w:val="18"/>
              </w:rPr>
              <w:t>32.15</w:t>
            </w:r>
          </w:p>
        </w:tc>
        <w:tc>
          <w:tcPr>
            <w:tcW w:type="dxa" w:w="1560"/>
            <w:tcMar>
              <w:top w:w="80" w:type="dxa"/>
              <w:bottom w:w="80" w:type="dxa"/>
              <w:left w:w="80" w:type="dxa"/>
              <w:right w:w="80" w:type="dxa"/>
            </w:tcMar>
          </w:tcPr>
          <w:p>
            <w:r>
              <w:rPr>
                <w:rFonts w:ascii="Microsoft JhengHei" w:hAnsi="Microsoft JhengHei"/>
                <w:sz w:val="18"/>
              </w:rPr>
              <w:t>32.80</w:t>
            </w:r>
          </w:p>
        </w:tc>
        <w:tc>
          <w:tcPr>
            <w:tcW w:type="dxa" w:w="1560"/>
            <w:tcMar>
              <w:top w:w="80" w:type="dxa"/>
              <w:bottom w:w="80" w:type="dxa"/>
              <w:left w:w="80" w:type="dxa"/>
              <w:right w:w="80" w:type="dxa"/>
            </w:tcMar>
          </w:tcPr>
          <w:p>
            <w:r>
              <w:rPr>
                <w:rFonts w:ascii="Microsoft JhengHei" w:hAnsi="Microsoft JhengHei"/>
                <w:sz w:val="18"/>
              </w:rPr>
              <w:t>29.65</w:t>
            </w:r>
          </w:p>
        </w:tc>
        <w:tc>
          <w:tcPr>
            <w:tcW w:type="dxa" w:w="1560"/>
            <w:tcMar>
              <w:top w:w="80" w:type="dxa"/>
              <w:bottom w:w="80" w:type="dxa"/>
              <w:left w:w="80" w:type="dxa"/>
              <w:right w:w="80" w:type="dxa"/>
            </w:tcMar>
          </w:tcPr>
          <w:p>
            <w:r>
              <w:rPr>
                <w:rFonts w:ascii="Microsoft JhengHei" w:hAnsi="Microsoft JhengHei"/>
                <w:sz w:val="18"/>
              </w:rPr>
              <w:t>35.50</w:t>
            </w:r>
          </w:p>
        </w:tc>
      </w:tr>
      <w:tr>
        <w:tc>
          <w:tcPr>
            <w:tcW w:type="dxa" w:w="1560"/>
            <w:tcMar>
              <w:top w:w="80" w:type="dxa"/>
              <w:bottom w:w="80" w:type="dxa"/>
              <w:left w:w="80" w:type="dxa"/>
              <w:right w:w="80" w:type="dxa"/>
            </w:tcMar>
          </w:tcPr>
          <w:p>
            <w:r>
              <w:rPr>
                <w:rFonts w:ascii="Microsoft JhengHei" w:hAnsi="Microsoft JhengHei"/>
                <w:b/>
                <w:sz w:val="18"/>
              </w:rPr>
              <w:t>廠房及設備 (PP&amp;E)</w:t>
            </w:r>
          </w:p>
        </w:tc>
        <w:tc>
          <w:tcPr>
            <w:tcW w:type="dxa" w:w="1560"/>
            <w:tcMar>
              <w:top w:w="80" w:type="dxa"/>
              <w:bottom w:w="80" w:type="dxa"/>
              <w:left w:w="80" w:type="dxa"/>
              <w:right w:w="80" w:type="dxa"/>
            </w:tcMar>
          </w:tcPr>
          <w:p>
            <w:r>
              <w:rPr>
                <w:rFonts w:ascii="Microsoft JhengHei" w:hAnsi="Microsoft JhengHei"/>
                <w:sz w:val="18"/>
              </w:rPr>
              <w:t>60.00</w:t>
            </w:r>
          </w:p>
        </w:tc>
        <w:tc>
          <w:tcPr>
            <w:tcW w:type="dxa" w:w="1560"/>
            <w:tcMar>
              <w:top w:w="80" w:type="dxa"/>
              <w:bottom w:w="80" w:type="dxa"/>
              <w:left w:w="80" w:type="dxa"/>
              <w:right w:w="80" w:type="dxa"/>
            </w:tcMar>
          </w:tcPr>
          <w:p>
            <w:r>
              <w:rPr>
                <w:rFonts w:ascii="Microsoft JhengHei" w:hAnsi="Microsoft JhengHei"/>
                <w:sz w:val="18"/>
              </w:rPr>
              <w:t>60.00</w:t>
            </w:r>
          </w:p>
        </w:tc>
        <w:tc>
          <w:tcPr>
            <w:tcW w:type="dxa" w:w="1560"/>
            <w:tcMar>
              <w:top w:w="80" w:type="dxa"/>
              <w:bottom w:w="80" w:type="dxa"/>
              <w:left w:w="80" w:type="dxa"/>
              <w:right w:w="80" w:type="dxa"/>
            </w:tcMar>
          </w:tcPr>
          <w:p>
            <w:r>
              <w:rPr>
                <w:rFonts w:ascii="Microsoft JhengHei" w:hAnsi="Microsoft JhengHei"/>
                <w:sz w:val="18"/>
              </w:rPr>
              <w:t>62.50</w:t>
            </w:r>
          </w:p>
        </w:tc>
        <w:tc>
          <w:tcPr>
            <w:tcW w:type="dxa" w:w="1560"/>
            <w:tcMar>
              <w:top w:w="80" w:type="dxa"/>
              <w:bottom w:w="80" w:type="dxa"/>
              <w:left w:w="80" w:type="dxa"/>
              <w:right w:w="80" w:type="dxa"/>
            </w:tcMar>
          </w:tcPr>
          <w:p>
            <w:r>
              <w:rPr>
                <w:rFonts w:ascii="Microsoft JhengHei" w:hAnsi="Microsoft JhengHei"/>
                <w:sz w:val="18"/>
              </w:rPr>
              <w:t>52.00 (減損8億)</w:t>
            </w:r>
          </w:p>
        </w:tc>
        <w:tc>
          <w:tcPr>
            <w:tcW w:type="dxa" w:w="1560"/>
            <w:tcMar>
              <w:top w:w="80" w:type="dxa"/>
              <w:bottom w:w="80" w:type="dxa"/>
              <w:left w:w="80" w:type="dxa"/>
              <w:right w:w="80" w:type="dxa"/>
            </w:tcMar>
          </w:tcPr>
          <w:p>
            <w:r>
              <w:rPr>
                <w:rFonts w:ascii="Microsoft JhengHei" w:hAnsi="Microsoft JhengHei"/>
                <w:sz w:val="18"/>
              </w:rPr>
              <w:t>60.50 (輕資產)</w:t>
            </w:r>
          </w:p>
        </w:tc>
      </w:tr>
      <w:tr>
        <w:tc>
          <w:tcPr>
            <w:tcW w:type="dxa" w:w="1560"/>
            <w:tcMar>
              <w:top w:w="80" w:type="dxa"/>
              <w:bottom w:w="80" w:type="dxa"/>
              <w:left w:w="80" w:type="dxa"/>
              <w:right w:w="80" w:type="dxa"/>
            </w:tcMar>
          </w:tcPr>
          <w:p>
            <w:r>
              <w:rPr>
                <w:rFonts w:ascii="Microsoft JhengHei" w:hAnsi="Microsoft JhengHei"/>
                <w:b/>
                <w:sz w:val="18"/>
              </w:rPr>
              <w:t>無形資產及其他</w:t>
            </w:r>
          </w:p>
        </w:tc>
        <w:tc>
          <w:tcPr>
            <w:tcW w:type="dxa" w:w="1560"/>
            <w:tcMar>
              <w:top w:w="80" w:type="dxa"/>
              <w:bottom w:w="80" w:type="dxa"/>
              <w:left w:w="80" w:type="dxa"/>
              <w:right w:w="80" w:type="dxa"/>
            </w:tcMar>
          </w:tcPr>
          <w:p>
            <w:r>
              <w:rPr>
                <w:rFonts w:ascii="Microsoft JhengHei" w:hAnsi="Microsoft JhengHei"/>
                <w:sz w:val="18"/>
              </w:rPr>
              <w:t>5.00</w:t>
            </w:r>
          </w:p>
        </w:tc>
        <w:tc>
          <w:tcPr>
            <w:tcW w:type="dxa" w:w="1560"/>
            <w:tcMar>
              <w:top w:w="80" w:type="dxa"/>
              <w:bottom w:w="80" w:type="dxa"/>
              <w:left w:w="80" w:type="dxa"/>
              <w:right w:w="80" w:type="dxa"/>
            </w:tcMar>
          </w:tcPr>
          <w:p>
            <w:r>
              <w:rPr>
                <w:rFonts w:ascii="Microsoft JhengHei" w:hAnsi="Microsoft JhengHei"/>
                <w:sz w:val="18"/>
              </w:rPr>
              <w:t>5.00</w:t>
            </w:r>
          </w:p>
        </w:tc>
        <w:tc>
          <w:tcPr>
            <w:tcW w:type="dxa" w:w="1560"/>
            <w:tcMar>
              <w:top w:w="80" w:type="dxa"/>
              <w:bottom w:w="80" w:type="dxa"/>
              <w:left w:w="80" w:type="dxa"/>
              <w:right w:w="80" w:type="dxa"/>
            </w:tcMar>
          </w:tcPr>
          <w:p>
            <w:r>
              <w:rPr>
                <w:rFonts w:ascii="Microsoft JhengHei" w:hAnsi="Microsoft JhengHei"/>
                <w:sz w:val="18"/>
              </w:rPr>
              <w:t>5.00</w:t>
            </w:r>
          </w:p>
        </w:tc>
        <w:tc>
          <w:tcPr>
            <w:tcW w:type="dxa" w:w="1560"/>
            <w:tcMar>
              <w:top w:w="80" w:type="dxa"/>
              <w:bottom w:w="80" w:type="dxa"/>
              <w:left w:w="80" w:type="dxa"/>
              <w:right w:w="80" w:type="dxa"/>
            </w:tcMar>
          </w:tcPr>
          <w:p>
            <w:r>
              <w:rPr>
                <w:rFonts w:ascii="Microsoft JhengHei" w:hAnsi="Microsoft JhengHei"/>
                <w:sz w:val="18"/>
              </w:rPr>
              <w:t>5.00</w:t>
            </w:r>
          </w:p>
        </w:tc>
        <w:tc>
          <w:tcPr>
            <w:tcW w:type="dxa" w:w="1560"/>
            <w:tcMar>
              <w:top w:w="80" w:type="dxa"/>
              <w:bottom w:w="80" w:type="dxa"/>
              <w:left w:w="80" w:type="dxa"/>
              <w:right w:w="80" w:type="dxa"/>
            </w:tcMar>
          </w:tcPr>
          <w:p>
            <w:r>
              <w:rPr>
                <w:rFonts w:ascii="Microsoft JhengHei" w:hAnsi="Microsoft JhengHei"/>
                <w:sz w:val="18"/>
              </w:rPr>
              <w:t>5.00</w:t>
            </w:r>
          </w:p>
        </w:tc>
      </w:tr>
      <w:tr>
        <w:tc>
          <w:tcPr>
            <w:tcW w:type="dxa" w:w="1560"/>
            <w:tcMar>
              <w:top w:w="80" w:type="dxa"/>
              <w:bottom w:w="80" w:type="dxa"/>
              <w:left w:w="80" w:type="dxa"/>
              <w:right w:w="80" w:type="dxa"/>
            </w:tcMar>
            <w:shd w:fill="F1F5F9"/>
          </w:tcPr>
          <w:p>
            <w:r>
              <w:rPr>
                <w:rFonts w:ascii="Microsoft JhengHei" w:hAnsi="Microsoft JhengHei"/>
                <w:b/>
                <w:sz w:val="18"/>
              </w:rPr>
              <w:t>總資產 (Total Assets)</w:t>
            </w:r>
          </w:p>
        </w:tc>
        <w:tc>
          <w:tcPr>
            <w:tcW w:type="dxa" w:w="1560"/>
            <w:tcMar>
              <w:top w:w="80" w:type="dxa"/>
              <w:bottom w:w="80" w:type="dxa"/>
              <w:left w:w="80" w:type="dxa"/>
              <w:right w:w="80" w:type="dxa"/>
            </w:tcMar>
            <w:shd w:fill="F1F5F9"/>
          </w:tcPr>
          <w:p>
            <w:r>
              <w:rPr>
                <w:rFonts w:ascii="Microsoft JhengHei" w:hAnsi="Microsoft JhengHei"/>
                <w:sz w:val="18"/>
              </w:rPr>
              <w:t>100.00</w:t>
            </w:r>
          </w:p>
        </w:tc>
        <w:tc>
          <w:tcPr>
            <w:tcW w:type="dxa" w:w="1560"/>
            <w:tcMar>
              <w:top w:w="80" w:type="dxa"/>
              <w:bottom w:w="80" w:type="dxa"/>
              <w:left w:w="80" w:type="dxa"/>
              <w:right w:w="80" w:type="dxa"/>
            </w:tcMar>
            <w:shd w:fill="F1F5F9"/>
          </w:tcPr>
          <w:p>
            <w:r>
              <w:rPr>
                <w:rFonts w:ascii="Microsoft JhengHei" w:hAnsi="Microsoft JhengHei"/>
                <w:sz w:val="18"/>
              </w:rPr>
              <w:t>97.15</w:t>
            </w:r>
          </w:p>
        </w:tc>
        <w:tc>
          <w:tcPr>
            <w:tcW w:type="dxa" w:w="1560"/>
            <w:tcMar>
              <w:top w:w="80" w:type="dxa"/>
              <w:bottom w:w="80" w:type="dxa"/>
              <w:left w:w="80" w:type="dxa"/>
              <w:right w:w="80" w:type="dxa"/>
            </w:tcMar>
            <w:shd w:fill="F1F5F9"/>
          </w:tcPr>
          <w:p>
            <w:r>
              <w:rPr>
                <w:rFonts w:ascii="Microsoft JhengHei" w:hAnsi="Microsoft JhengHei"/>
                <w:sz w:val="18"/>
              </w:rPr>
              <w:t>100.30</w:t>
            </w:r>
          </w:p>
        </w:tc>
        <w:tc>
          <w:tcPr>
            <w:tcW w:type="dxa" w:w="1560"/>
            <w:tcMar>
              <w:top w:w="80" w:type="dxa"/>
              <w:bottom w:w="80" w:type="dxa"/>
              <w:left w:w="80" w:type="dxa"/>
              <w:right w:w="80" w:type="dxa"/>
            </w:tcMar>
            <w:shd w:fill="F1F5F9"/>
          </w:tcPr>
          <w:p>
            <w:r>
              <w:rPr>
                <w:rFonts w:ascii="Microsoft JhengHei" w:hAnsi="Microsoft JhengHei"/>
                <w:sz w:val="18"/>
              </w:rPr>
              <w:t>86.65</w:t>
            </w:r>
          </w:p>
        </w:tc>
        <w:tc>
          <w:tcPr>
            <w:tcW w:type="dxa" w:w="1560"/>
            <w:tcMar>
              <w:top w:w="80" w:type="dxa"/>
              <w:bottom w:w="80" w:type="dxa"/>
              <w:left w:w="80" w:type="dxa"/>
              <w:right w:w="80" w:type="dxa"/>
            </w:tcMar>
            <w:shd w:fill="F1F5F9"/>
          </w:tcPr>
          <w:p>
            <w:r>
              <w:rPr>
                <w:rFonts w:ascii="Microsoft JhengHei" w:hAnsi="Microsoft JhengHei"/>
                <w:sz w:val="18"/>
              </w:rPr>
              <w:t>101.00</w:t>
            </w:r>
          </w:p>
        </w:tc>
      </w:tr>
      <w:tr>
        <w:tc>
          <w:tcPr>
            <w:tcW w:type="dxa" w:w="1560"/>
            <w:tcMar>
              <w:top w:w="80" w:type="dxa"/>
              <w:bottom w:w="80" w:type="dxa"/>
              <w:left w:w="80" w:type="dxa"/>
              <w:right w:w="80" w:type="dxa"/>
            </w:tcMar>
          </w:tcPr>
          <w:p>
            <w:r>
              <w:rPr>
                <w:rFonts w:ascii="Microsoft JhengHei" w:hAnsi="Microsoft JhengHei"/>
                <w:b/>
                <w:sz w:val="18"/>
              </w:rPr>
              <w:t>短期借款及應付帳款</w:t>
            </w:r>
          </w:p>
        </w:tc>
        <w:tc>
          <w:tcPr>
            <w:tcW w:type="dxa" w:w="1560"/>
            <w:tcMar>
              <w:top w:w="80" w:type="dxa"/>
              <w:bottom w:w="80" w:type="dxa"/>
              <w:left w:w="80" w:type="dxa"/>
              <w:right w:w="80" w:type="dxa"/>
            </w:tcMar>
          </w:tcPr>
          <w:p>
            <w:r>
              <w:rPr>
                <w:rFonts w:ascii="Microsoft JhengHei" w:hAnsi="Microsoft JhengHei"/>
                <w:sz w:val="18"/>
              </w:rPr>
              <w:t>17.00</w:t>
            </w:r>
          </w:p>
        </w:tc>
        <w:tc>
          <w:tcPr>
            <w:tcW w:type="dxa" w:w="1560"/>
            <w:tcMar>
              <w:top w:w="80" w:type="dxa"/>
              <w:bottom w:w="80" w:type="dxa"/>
              <w:left w:w="80" w:type="dxa"/>
              <w:right w:w="80" w:type="dxa"/>
            </w:tcMar>
          </w:tcPr>
          <w:p>
            <w:r>
              <w:rPr>
                <w:rFonts w:ascii="Microsoft JhengHei" w:hAnsi="Microsoft JhengHei"/>
                <w:sz w:val="18"/>
              </w:rPr>
              <w:t>16.50</w:t>
            </w:r>
          </w:p>
        </w:tc>
        <w:tc>
          <w:tcPr>
            <w:tcW w:type="dxa" w:w="1560"/>
            <w:tcMar>
              <w:top w:w="80" w:type="dxa"/>
              <w:bottom w:w="80" w:type="dxa"/>
              <w:left w:w="80" w:type="dxa"/>
              <w:right w:w="80" w:type="dxa"/>
            </w:tcMar>
          </w:tcPr>
          <w:p>
            <w:r>
              <w:rPr>
                <w:rFonts w:ascii="Microsoft JhengHei" w:hAnsi="Microsoft JhengHei"/>
                <w:sz w:val="18"/>
              </w:rPr>
              <w:t>17.00</w:t>
            </w:r>
          </w:p>
        </w:tc>
        <w:tc>
          <w:tcPr>
            <w:tcW w:type="dxa" w:w="1560"/>
            <w:tcMar>
              <w:top w:w="80" w:type="dxa"/>
              <w:bottom w:w="80" w:type="dxa"/>
              <w:left w:w="80" w:type="dxa"/>
              <w:right w:w="80" w:type="dxa"/>
            </w:tcMar>
          </w:tcPr>
          <w:p>
            <w:r>
              <w:rPr>
                <w:rFonts w:ascii="Microsoft JhengHei" w:hAnsi="Microsoft JhengHei"/>
                <w:sz w:val="18"/>
              </w:rPr>
              <w:t>19.00 (增借補缺)</w:t>
            </w:r>
          </w:p>
        </w:tc>
        <w:tc>
          <w:tcPr>
            <w:tcW w:type="dxa" w:w="1560"/>
            <w:tcMar>
              <w:top w:w="80" w:type="dxa"/>
              <w:bottom w:w="80" w:type="dxa"/>
              <w:left w:w="80" w:type="dxa"/>
              <w:right w:w="80" w:type="dxa"/>
            </w:tcMar>
          </w:tcPr>
          <w:p>
            <w:r>
              <w:rPr>
                <w:rFonts w:ascii="Microsoft JhengHei" w:hAnsi="Microsoft JhengHei"/>
                <w:sz w:val="18"/>
              </w:rPr>
              <w:t>17.00</w:t>
            </w:r>
          </w:p>
        </w:tc>
      </w:tr>
      <w:tr>
        <w:tc>
          <w:tcPr>
            <w:tcW w:type="dxa" w:w="1560"/>
            <w:tcMar>
              <w:top w:w="80" w:type="dxa"/>
              <w:bottom w:w="80" w:type="dxa"/>
              <w:left w:w="80" w:type="dxa"/>
              <w:right w:w="80" w:type="dxa"/>
            </w:tcMar>
          </w:tcPr>
          <w:p>
            <w:r>
              <w:rPr>
                <w:rFonts w:ascii="Microsoft JhengHei" w:hAnsi="Microsoft JhengHei"/>
                <w:b/>
                <w:sz w:val="18"/>
              </w:rPr>
              <w:t>長期借款總額</w:t>
            </w:r>
          </w:p>
        </w:tc>
        <w:tc>
          <w:tcPr>
            <w:tcW w:type="dxa" w:w="1560"/>
            <w:tcMar>
              <w:top w:w="80" w:type="dxa"/>
              <w:bottom w:w="80" w:type="dxa"/>
              <w:left w:w="80" w:type="dxa"/>
              <w:right w:w="80" w:type="dxa"/>
            </w:tcMar>
          </w:tcPr>
          <w:p>
            <w:r>
              <w:rPr>
                <w:rFonts w:ascii="Microsoft JhengHei" w:hAnsi="Microsoft JhengHei"/>
                <w:sz w:val="18"/>
              </w:rPr>
              <w:t>25.00</w:t>
            </w:r>
          </w:p>
        </w:tc>
        <w:tc>
          <w:tcPr>
            <w:tcW w:type="dxa" w:w="1560"/>
            <w:tcMar>
              <w:top w:w="80" w:type="dxa"/>
              <w:bottom w:w="80" w:type="dxa"/>
              <w:left w:w="80" w:type="dxa"/>
              <w:right w:w="80" w:type="dxa"/>
            </w:tcMar>
          </w:tcPr>
          <w:p>
            <w:r>
              <w:rPr>
                <w:rFonts w:ascii="Microsoft JhengHei" w:hAnsi="Microsoft JhengHei"/>
                <w:sz w:val="18"/>
              </w:rPr>
              <w:t>25.00</w:t>
            </w:r>
          </w:p>
        </w:tc>
        <w:tc>
          <w:tcPr>
            <w:tcW w:type="dxa" w:w="1560"/>
            <w:tcMar>
              <w:top w:w="80" w:type="dxa"/>
              <w:bottom w:w="80" w:type="dxa"/>
              <w:left w:w="80" w:type="dxa"/>
              <w:right w:w="80" w:type="dxa"/>
            </w:tcMar>
          </w:tcPr>
          <w:p>
            <w:r>
              <w:rPr>
                <w:rFonts w:ascii="Microsoft JhengHei" w:hAnsi="Microsoft JhengHei"/>
                <w:sz w:val="18"/>
              </w:rPr>
              <w:t>26.00</w:t>
            </w:r>
          </w:p>
        </w:tc>
        <w:tc>
          <w:tcPr>
            <w:tcW w:type="dxa" w:w="1560"/>
            <w:tcMar>
              <w:top w:w="80" w:type="dxa"/>
              <w:bottom w:w="80" w:type="dxa"/>
              <w:left w:w="80" w:type="dxa"/>
              <w:right w:w="80" w:type="dxa"/>
            </w:tcMar>
          </w:tcPr>
          <w:p>
            <w:r>
              <w:rPr>
                <w:rFonts w:ascii="Microsoft JhengHei" w:hAnsi="Microsoft JhengHei"/>
                <w:sz w:val="18"/>
              </w:rPr>
              <w:t>25.00</w:t>
            </w:r>
          </w:p>
        </w:tc>
        <w:tc>
          <w:tcPr>
            <w:tcW w:type="dxa" w:w="1560"/>
            <w:tcMar>
              <w:top w:w="80" w:type="dxa"/>
              <w:bottom w:w="80" w:type="dxa"/>
              <w:left w:w="80" w:type="dxa"/>
              <w:right w:w="80" w:type="dxa"/>
            </w:tcMar>
          </w:tcPr>
          <w:p>
            <w:r>
              <w:rPr>
                <w:rFonts w:ascii="Microsoft JhengHei" w:hAnsi="Microsoft JhengHei"/>
                <w:sz w:val="18"/>
              </w:rPr>
              <w:t>25.00 (無增貸)</w:t>
            </w:r>
          </w:p>
        </w:tc>
      </w:tr>
      <w:tr>
        <w:tc>
          <w:tcPr>
            <w:tcW w:type="dxa" w:w="1560"/>
            <w:tcMar>
              <w:top w:w="80" w:type="dxa"/>
              <w:bottom w:w="80" w:type="dxa"/>
              <w:left w:w="80" w:type="dxa"/>
              <w:right w:w="80" w:type="dxa"/>
            </w:tcMar>
            <w:shd w:fill="F1F5F9"/>
          </w:tcPr>
          <w:p>
            <w:r>
              <w:rPr>
                <w:rFonts w:ascii="Microsoft JhengHei" w:hAnsi="Microsoft JhengHei"/>
                <w:b/>
                <w:sz w:val="18"/>
              </w:rPr>
              <w:t>總負債 (Total Liab.)</w:t>
            </w:r>
          </w:p>
        </w:tc>
        <w:tc>
          <w:tcPr>
            <w:tcW w:type="dxa" w:w="1560"/>
            <w:tcMar>
              <w:top w:w="80" w:type="dxa"/>
              <w:bottom w:w="80" w:type="dxa"/>
              <w:left w:w="80" w:type="dxa"/>
              <w:right w:w="80" w:type="dxa"/>
            </w:tcMar>
            <w:shd w:fill="F1F5F9"/>
          </w:tcPr>
          <w:p>
            <w:r>
              <w:rPr>
                <w:rFonts w:ascii="Microsoft JhengHei" w:hAnsi="Microsoft JhengHei"/>
                <w:sz w:val="18"/>
              </w:rPr>
              <w:t>42.00</w:t>
            </w:r>
          </w:p>
        </w:tc>
        <w:tc>
          <w:tcPr>
            <w:tcW w:type="dxa" w:w="1560"/>
            <w:tcMar>
              <w:top w:w="80" w:type="dxa"/>
              <w:bottom w:w="80" w:type="dxa"/>
              <w:left w:w="80" w:type="dxa"/>
              <w:right w:w="80" w:type="dxa"/>
            </w:tcMar>
            <w:shd w:fill="F1F5F9"/>
          </w:tcPr>
          <w:p>
            <w:r>
              <w:rPr>
                <w:rFonts w:ascii="Microsoft JhengHei" w:hAnsi="Microsoft JhengHei"/>
                <w:sz w:val="18"/>
              </w:rPr>
              <w:t>41.50</w:t>
            </w:r>
          </w:p>
        </w:tc>
        <w:tc>
          <w:tcPr>
            <w:tcW w:type="dxa" w:w="1560"/>
            <w:tcMar>
              <w:top w:w="80" w:type="dxa"/>
              <w:bottom w:w="80" w:type="dxa"/>
              <w:left w:w="80" w:type="dxa"/>
              <w:right w:w="80" w:type="dxa"/>
            </w:tcMar>
            <w:shd w:fill="F1F5F9"/>
          </w:tcPr>
          <w:p>
            <w:r>
              <w:rPr>
                <w:rFonts w:ascii="Microsoft JhengHei" w:hAnsi="Microsoft JhengHei"/>
                <w:sz w:val="18"/>
              </w:rPr>
              <w:t>43.00</w:t>
            </w:r>
          </w:p>
        </w:tc>
        <w:tc>
          <w:tcPr>
            <w:tcW w:type="dxa" w:w="1560"/>
            <w:tcMar>
              <w:top w:w="80" w:type="dxa"/>
              <w:bottom w:w="80" w:type="dxa"/>
              <w:left w:w="80" w:type="dxa"/>
              <w:right w:w="80" w:type="dxa"/>
            </w:tcMar>
            <w:shd w:fill="F1F5F9"/>
          </w:tcPr>
          <w:p>
            <w:r>
              <w:rPr>
                <w:rFonts w:ascii="Microsoft JhengHei" w:hAnsi="Microsoft JhengHei"/>
                <w:sz w:val="18"/>
              </w:rPr>
              <w:t>44.00</w:t>
            </w:r>
          </w:p>
        </w:tc>
        <w:tc>
          <w:tcPr>
            <w:tcW w:type="dxa" w:w="1560"/>
            <w:tcMar>
              <w:top w:w="80" w:type="dxa"/>
              <w:bottom w:w="80" w:type="dxa"/>
              <w:left w:w="80" w:type="dxa"/>
              <w:right w:w="80" w:type="dxa"/>
            </w:tcMar>
            <w:shd w:fill="F1F5F9"/>
          </w:tcPr>
          <w:p>
            <w:r>
              <w:rPr>
                <w:rFonts w:ascii="Microsoft JhengHei" w:hAnsi="Microsoft JhengHei"/>
                <w:sz w:val="18"/>
              </w:rPr>
              <w:t>42.00</w:t>
            </w:r>
          </w:p>
        </w:tc>
      </w:tr>
      <w:tr>
        <w:tc>
          <w:tcPr>
            <w:tcW w:type="dxa" w:w="1560"/>
            <w:tcMar>
              <w:top w:w="80" w:type="dxa"/>
              <w:bottom w:w="80" w:type="dxa"/>
              <w:left w:w="80" w:type="dxa"/>
              <w:right w:w="80" w:type="dxa"/>
            </w:tcMar>
            <w:shd w:fill="F1F5F9"/>
          </w:tcPr>
          <w:p>
            <w:r>
              <w:rPr>
                <w:rFonts w:ascii="Microsoft JhengHei" w:hAnsi="Microsoft JhengHei"/>
                <w:b/>
                <w:sz w:val="18"/>
              </w:rPr>
              <w:t>股東權益 (股本+盈餘)</w:t>
            </w:r>
          </w:p>
        </w:tc>
        <w:tc>
          <w:tcPr>
            <w:tcW w:type="dxa" w:w="1560"/>
            <w:tcMar>
              <w:top w:w="80" w:type="dxa"/>
              <w:bottom w:w="80" w:type="dxa"/>
              <w:left w:w="80" w:type="dxa"/>
              <w:right w:w="80" w:type="dxa"/>
            </w:tcMar>
            <w:shd w:fill="F1F5F9"/>
          </w:tcPr>
          <w:p>
            <w:r>
              <w:rPr>
                <w:rFonts w:ascii="Microsoft JhengHei" w:hAnsi="Microsoft JhengHei"/>
                <w:sz w:val="18"/>
              </w:rPr>
              <w:t>58.00</w:t>
            </w:r>
          </w:p>
        </w:tc>
        <w:tc>
          <w:tcPr>
            <w:tcW w:type="dxa" w:w="1560"/>
            <w:tcMar>
              <w:top w:w="80" w:type="dxa"/>
              <w:bottom w:w="80" w:type="dxa"/>
              <w:left w:w="80" w:type="dxa"/>
              <w:right w:w="80" w:type="dxa"/>
            </w:tcMar>
            <w:shd w:fill="F1F5F9"/>
          </w:tcPr>
          <w:p>
            <w:r>
              <w:rPr>
                <w:rFonts w:ascii="Microsoft JhengHei" w:hAnsi="Microsoft JhengHei"/>
                <w:sz w:val="18"/>
              </w:rPr>
              <w:t>55.65</w:t>
            </w:r>
          </w:p>
        </w:tc>
        <w:tc>
          <w:tcPr>
            <w:tcW w:type="dxa" w:w="1560"/>
            <w:tcMar>
              <w:top w:w="80" w:type="dxa"/>
              <w:bottom w:w="80" w:type="dxa"/>
              <w:left w:w="80" w:type="dxa"/>
              <w:right w:w="80" w:type="dxa"/>
            </w:tcMar>
            <w:shd w:fill="F1F5F9"/>
          </w:tcPr>
          <w:p>
            <w:r>
              <w:rPr>
                <w:rFonts w:ascii="Microsoft JhengHei" w:hAnsi="Microsoft JhengHei"/>
                <w:sz w:val="18"/>
              </w:rPr>
              <w:t>57.30</w:t>
            </w:r>
          </w:p>
        </w:tc>
        <w:tc>
          <w:tcPr>
            <w:tcW w:type="dxa" w:w="1560"/>
            <w:tcMar>
              <w:top w:w="80" w:type="dxa"/>
              <w:bottom w:w="80" w:type="dxa"/>
              <w:left w:w="80" w:type="dxa"/>
              <w:right w:w="80" w:type="dxa"/>
            </w:tcMar>
            <w:shd w:fill="F1F5F9"/>
          </w:tcPr>
          <w:p>
            <w:r>
              <w:rPr>
                <w:rFonts w:ascii="Microsoft JhengHei" w:hAnsi="Microsoft JhengHei"/>
                <w:sz w:val="18"/>
              </w:rPr>
              <w:t>42.65 (虧損打穿)</w:t>
            </w:r>
          </w:p>
        </w:tc>
        <w:tc>
          <w:tcPr>
            <w:tcW w:type="dxa" w:w="1560"/>
            <w:tcMar>
              <w:top w:w="80" w:type="dxa"/>
              <w:bottom w:w="80" w:type="dxa"/>
              <w:left w:w="80" w:type="dxa"/>
              <w:right w:w="80" w:type="dxa"/>
            </w:tcMar>
            <w:shd w:fill="F1F5F9"/>
          </w:tcPr>
          <w:p>
            <w:r>
              <w:rPr>
                <w:rFonts w:ascii="Microsoft JhengHei" w:hAnsi="Microsoft JhengHei"/>
                <w:sz w:val="18"/>
              </w:rPr>
              <w:t>59.00</w:t>
            </w:r>
          </w:p>
        </w:tc>
      </w:tr>
      <w:tr>
        <w:tc>
          <w:tcPr>
            <w:tcW w:type="dxa" w:w="1560"/>
            <w:tcMar>
              <w:top w:w="80" w:type="dxa"/>
              <w:bottom w:w="80" w:type="dxa"/>
              <w:left w:w="80" w:type="dxa"/>
              <w:right w:w="80" w:type="dxa"/>
            </w:tcMar>
            <w:shd w:fill="F1F5F9"/>
          </w:tcPr>
          <w:p>
            <w:r>
              <w:rPr>
                <w:rFonts w:ascii="Microsoft JhengHei" w:hAnsi="Microsoft JhengHei"/>
                <w:b/>
                <w:sz w:val="18"/>
              </w:rPr>
              <w:t>負債比率 (Debt Ratio)</w:t>
            </w:r>
          </w:p>
        </w:tc>
        <w:tc>
          <w:tcPr>
            <w:tcW w:type="dxa" w:w="1560"/>
            <w:tcMar>
              <w:top w:w="80" w:type="dxa"/>
              <w:bottom w:w="80" w:type="dxa"/>
              <w:left w:w="80" w:type="dxa"/>
              <w:right w:w="80" w:type="dxa"/>
            </w:tcMar>
            <w:shd w:fill="F1F5F9"/>
          </w:tcPr>
          <w:p>
            <w:r>
              <w:rPr>
                <w:rFonts w:ascii="Microsoft JhengHei" w:hAnsi="Microsoft JhengHei"/>
                <w:sz w:val="18"/>
              </w:rPr>
              <w:t>42.0%</w:t>
            </w:r>
          </w:p>
        </w:tc>
        <w:tc>
          <w:tcPr>
            <w:tcW w:type="dxa" w:w="1560"/>
            <w:tcMar>
              <w:top w:w="80" w:type="dxa"/>
              <w:bottom w:w="80" w:type="dxa"/>
              <w:left w:w="80" w:type="dxa"/>
              <w:right w:w="80" w:type="dxa"/>
            </w:tcMar>
            <w:shd w:fill="F1F5F9"/>
          </w:tcPr>
          <w:p>
            <w:r>
              <w:rPr>
                <w:rFonts w:ascii="Microsoft JhengHei" w:hAnsi="Microsoft JhengHei"/>
                <w:sz w:val="18"/>
              </w:rPr>
              <w:t>42.7%</w:t>
            </w:r>
          </w:p>
        </w:tc>
        <w:tc>
          <w:tcPr>
            <w:tcW w:type="dxa" w:w="1560"/>
            <w:tcMar>
              <w:top w:w="80" w:type="dxa"/>
              <w:bottom w:w="80" w:type="dxa"/>
              <w:left w:w="80" w:type="dxa"/>
              <w:right w:w="80" w:type="dxa"/>
            </w:tcMar>
            <w:shd w:fill="F1F5F9"/>
          </w:tcPr>
          <w:p>
            <w:r>
              <w:rPr>
                <w:rFonts w:ascii="Microsoft JhengHei" w:hAnsi="Microsoft JhengHei"/>
                <w:sz w:val="18"/>
              </w:rPr>
              <w:t>42.9%</w:t>
            </w:r>
          </w:p>
        </w:tc>
        <w:tc>
          <w:tcPr>
            <w:tcW w:type="dxa" w:w="1560"/>
            <w:tcMar>
              <w:top w:w="80" w:type="dxa"/>
              <w:bottom w:w="80" w:type="dxa"/>
              <w:left w:w="80" w:type="dxa"/>
              <w:right w:w="80" w:type="dxa"/>
            </w:tcMar>
            <w:shd w:fill="F1F5F9"/>
          </w:tcPr>
          <w:p>
            <w:r>
              <w:rPr>
                <w:rFonts w:ascii="Microsoft JhengHei" w:hAnsi="Microsoft JhengHei"/>
                <w:b/>
                <w:color w:val="BE123C"/>
                <w:sz w:val="18"/>
              </w:rPr>
              <w:t>50.8% (違約紅線)</w:t>
            </w:r>
          </w:p>
        </w:tc>
        <w:tc>
          <w:tcPr>
            <w:tcW w:type="dxa" w:w="1560"/>
            <w:tcMar>
              <w:top w:w="80" w:type="dxa"/>
              <w:bottom w:w="80" w:type="dxa"/>
              <w:left w:w="80" w:type="dxa"/>
              <w:right w:w="80" w:type="dxa"/>
            </w:tcMar>
            <w:shd w:fill="F1F5F9"/>
          </w:tcPr>
          <w:p>
            <w:r>
              <w:rPr>
                <w:rFonts w:ascii="Microsoft JhengHei" w:hAnsi="Microsoft JhengHei"/>
                <w:b/>
                <w:color w:val="15803D"/>
                <w:sz w:val="18"/>
              </w:rPr>
              <w:t>41.6% (最穩健)</w:t>
            </w:r>
          </w:p>
        </w:tc>
      </w:tr>
      <w:tr>
        <w:tc>
          <w:tcPr>
            <w:tcW w:type="dxa" w:w="1560"/>
            <w:tcMar>
              <w:top w:w="80" w:type="dxa"/>
              <w:bottom w:w="80" w:type="dxa"/>
              <w:left w:w="80" w:type="dxa"/>
              <w:right w:w="80" w:type="dxa"/>
            </w:tcMar>
          </w:tcPr>
          <w:p>
            <w:r>
              <w:rPr>
                <w:rFonts w:ascii="Microsoft JhengHei" w:hAnsi="Microsoft JhengHei"/>
                <w:b/>
                <w:sz w:val="18"/>
              </w:rPr>
              <w:t>流動比率 (CR)</w:t>
            </w:r>
          </w:p>
        </w:tc>
        <w:tc>
          <w:tcPr>
            <w:tcW w:type="dxa" w:w="1560"/>
            <w:tcMar>
              <w:top w:w="80" w:type="dxa"/>
              <w:bottom w:w="80" w:type="dxa"/>
              <w:left w:w="80" w:type="dxa"/>
              <w:right w:w="80" w:type="dxa"/>
            </w:tcMar>
          </w:tcPr>
          <w:p>
            <w:r>
              <w:rPr>
                <w:rFonts w:ascii="Microsoft JhengHei" w:hAnsi="Microsoft JhengHei"/>
                <w:sz w:val="18"/>
              </w:rPr>
              <w:t>2.06</w:t>
            </w:r>
          </w:p>
        </w:tc>
        <w:tc>
          <w:tcPr>
            <w:tcW w:type="dxa" w:w="1560"/>
            <w:tcMar>
              <w:top w:w="80" w:type="dxa"/>
              <w:bottom w:w="80" w:type="dxa"/>
              <w:left w:w="80" w:type="dxa"/>
              <w:right w:w="80" w:type="dxa"/>
            </w:tcMar>
          </w:tcPr>
          <w:p>
            <w:r>
              <w:rPr>
                <w:rFonts w:ascii="Microsoft JhengHei" w:hAnsi="Microsoft JhengHei"/>
                <w:sz w:val="18"/>
              </w:rPr>
              <w:t>1.95</w:t>
            </w:r>
          </w:p>
        </w:tc>
        <w:tc>
          <w:tcPr>
            <w:tcW w:type="dxa" w:w="1560"/>
            <w:tcMar>
              <w:top w:w="80" w:type="dxa"/>
              <w:bottom w:w="80" w:type="dxa"/>
              <w:left w:w="80" w:type="dxa"/>
              <w:right w:w="80" w:type="dxa"/>
            </w:tcMar>
          </w:tcPr>
          <w:p>
            <w:r>
              <w:rPr>
                <w:rFonts w:ascii="Microsoft JhengHei" w:hAnsi="Microsoft JhengHei"/>
                <w:sz w:val="18"/>
              </w:rPr>
              <w:t>1.93</w:t>
            </w:r>
          </w:p>
        </w:tc>
        <w:tc>
          <w:tcPr>
            <w:tcW w:type="dxa" w:w="1560"/>
            <w:tcMar>
              <w:top w:w="80" w:type="dxa"/>
              <w:bottom w:w="80" w:type="dxa"/>
              <w:left w:w="80" w:type="dxa"/>
              <w:right w:w="80" w:type="dxa"/>
            </w:tcMar>
          </w:tcPr>
          <w:p>
            <w:r>
              <w:rPr>
                <w:rFonts w:ascii="Microsoft JhengHei" w:hAnsi="Microsoft JhengHei"/>
                <w:sz w:val="18"/>
              </w:rPr>
              <w:t>1.56 (流動性差)</w:t>
            </w:r>
          </w:p>
        </w:tc>
        <w:tc>
          <w:tcPr>
            <w:tcW w:type="dxa" w:w="1560"/>
            <w:tcMar>
              <w:top w:w="80" w:type="dxa"/>
              <w:bottom w:w="80" w:type="dxa"/>
              <w:left w:w="80" w:type="dxa"/>
              <w:right w:w="80" w:type="dxa"/>
            </w:tcMar>
          </w:tcPr>
          <w:p>
            <w:r>
              <w:rPr>
                <w:rFonts w:ascii="Microsoft JhengHei" w:hAnsi="Microsoft JhengHei"/>
                <w:b/>
                <w:color w:val="15803D"/>
                <w:sz w:val="18"/>
              </w:rPr>
              <w:t>2.09 (最健康)</w:t>
            </w:r>
          </w:p>
        </w:tc>
      </w:tr>
      <w:tr>
        <w:tc>
          <w:tcPr>
            <w:tcW w:type="dxa" w:w="1560"/>
            <w:tcMar>
              <w:top w:w="80" w:type="dxa"/>
              <w:bottom w:w="80" w:type="dxa"/>
              <w:left w:w="80" w:type="dxa"/>
              <w:right w:w="80" w:type="dxa"/>
            </w:tcMar>
          </w:tcPr>
          <w:p>
            <w:r>
              <w:rPr>
                <w:rFonts w:ascii="Microsoft JhengHei" w:hAnsi="Microsoft JhengHei"/>
                <w:b/>
                <w:sz w:val="18"/>
              </w:rPr>
              <w:t>股東權益報酬率 (ROE)</w:t>
            </w:r>
          </w:p>
        </w:tc>
        <w:tc>
          <w:tcPr>
            <w:tcW w:type="dxa" w:w="1560"/>
            <w:tcMar>
              <w:top w:w="80" w:type="dxa"/>
              <w:bottom w:w="80" w:type="dxa"/>
              <w:left w:w="80" w:type="dxa"/>
              <w:right w:w="80" w:type="dxa"/>
            </w:tcMar>
          </w:tcPr>
          <w:p>
            <w:r>
              <w:rPr>
                <w:rFonts w:ascii="Microsoft JhengHei" w:hAnsi="Microsoft JhengHei"/>
                <w:sz w:val="18"/>
              </w:rPr>
              <w:t>15.2%</w:t>
            </w:r>
          </w:p>
        </w:tc>
        <w:tc>
          <w:tcPr>
            <w:tcW w:type="dxa" w:w="1560"/>
            <w:tcMar>
              <w:top w:w="80" w:type="dxa"/>
              <w:bottom w:w="80" w:type="dxa"/>
              <w:left w:w="80" w:type="dxa"/>
              <w:right w:w="80" w:type="dxa"/>
            </w:tcMar>
          </w:tcPr>
          <w:p>
            <w:r>
              <w:rPr>
                <w:rFonts w:ascii="Microsoft JhengHei" w:hAnsi="Microsoft JhengHei"/>
                <w:sz w:val="18"/>
              </w:rPr>
              <w:t>5.6%</w:t>
            </w:r>
          </w:p>
        </w:tc>
        <w:tc>
          <w:tcPr>
            <w:tcW w:type="dxa" w:w="1560"/>
            <w:tcMar>
              <w:top w:w="80" w:type="dxa"/>
              <w:bottom w:w="80" w:type="dxa"/>
              <w:left w:w="80" w:type="dxa"/>
              <w:right w:w="80" w:type="dxa"/>
            </w:tcMar>
          </w:tcPr>
          <w:p>
            <w:r>
              <w:rPr>
                <w:rFonts w:ascii="Microsoft JhengHei" w:hAnsi="Microsoft JhengHei"/>
                <w:sz w:val="18"/>
              </w:rPr>
              <w:t>15.5%</w:t>
            </w:r>
          </w:p>
        </w:tc>
        <w:tc>
          <w:tcPr>
            <w:tcW w:type="dxa" w:w="1560"/>
            <w:tcMar>
              <w:top w:w="80" w:type="dxa"/>
              <w:bottom w:w="80" w:type="dxa"/>
              <w:left w:w="80" w:type="dxa"/>
              <w:right w:w="80" w:type="dxa"/>
            </w:tcMar>
          </w:tcPr>
          <w:p>
            <w:r>
              <w:rPr>
                <w:rFonts w:ascii="Microsoft JhengHei" w:hAnsi="Microsoft JhengHei"/>
                <w:sz w:val="18"/>
              </w:rPr>
              <w:t>負值 (巨虧)</w:t>
            </w:r>
          </w:p>
        </w:tc>
        <w:tc>
          <w:tcPr>
            <w:tcW w:type="dxa" w:w="1560"/>
            <w:tcMar>
              <w:top w:w="80" w:type="dxa"/>
              <w:bottom w:w="80" w:type="dxa"/>
              <w:left w:w="80" w:type="dxa"/>
              <w:right w:w="80" w:type="dxa"/>
            </w:tcMar>
          </w:tcPr>
          <w:p>
            <w:r>
              <w:rPr>
                <w:rFonts w:ascii="Microsoft JhengHei" w:hAnsi="Microsoft JhengHei"/>
                <w:b/>
                <w:color w:val="15803D"/>
                <w:sz w:val="18"/>
              </w:rPr>
              <w:t>16.1% (最高)</w:t>
            </w:r>
          </w:p>
        </w:tc>
      </w:tr>
    </w:tbl>
    <w:p>
      <w:pPr>
        <w:keepNext/>
        <w:spacing w:before="320" w:after="120"/>
      </w:pPr>
      <w:r>
        <w:rPr>
          <w:rFonts w:ascii="Microsoft JhengHei" w:hAnsi="Microsoft JhengHei"/>
          <w:b/>
          <w:color w:val="0F172A"/>
          <w:sz w:val="30"/>
        </w:rPr>
        <w:t>伍、全新策略解方：方案丁（模組化輕資產轉型路徑）</w:t>
      </w:r>
    </w:p>
    <w:p>
      <w:pPr>
        <w:spacing w:before="0" w:after="120" w:line="300" w:lineRule="auto"/>
      </w:pPr>
      <w:r>
        <w:rPr>
          <w:rFonts w:ascii="Microsoft JhengHei" w:hAnsi="Microsoft JhengHei"/>
          <w:color w:val="334155"/>
          <w:sz w:val="21"/>
        </w:rPr>
        <w:t>綜合四組情境壓力測試，方案丙「2.5億全部自購」的模式在面臨利率與減損衝擊時具備高脆弱性。為打破僵局，本報告提出全新設計之「方案丁：模組化輕資產轉型策略」：</w:t>
      </w:r>
    </w:p>
    <w:p>
      <w:pPr>
        <w:spacing w:before="0" w:after="120" w:line="300" w:lineRule="auto"/>
      </w:pPr>
      <w:r>
        <w:rPr>
          <w:rFonts w:ascii="Microsoft JhengHei" w:hAnsi="Microsoft JhengHei"/>
          <w:b/>
          <w:color w:val="1E293B"/>
          <w:sz w:val="21"/>
        </w:rPr>
        <w:t>1. 資本支出表外化（Off-Balance Sheet ESCO）：</w:t>
      </w:r>
      <w:r>
        <w:rPr>
          <w:rFonts w:ascii="Microsoft JhengHei" w:hAnsi="Microsoft JhengHei"/>
          <w:color w:val="334155"/>
          <w:sz w:val="21"/>
        </w:rPr>
        <w:t>將2.5億資金需求拆解為三軌：(1) 僅自籌5,000萬美元投入核心關鍵專利設備；(2) 1億美元節能通用設備改採「ESCO（能源服務績效合約）與設備租賃」，由綠色金融商出資建設，ABC逐年以節省電費分期支付營運費用（OpEx），不佔用資產負債表額度；(3) 5,000萬綠色材料研發爭取Apple與Samsung之永續共同基金專案補貼。</w:t>
      </w:r>
    </w:p>
    <w:p>
      <w:pPr>
        <w:spacing w:before="0" w:after="120" w:line="300" w:lineRule="auto"/>
      </w:pPr>
      <w:r>
        <w:rPr>
          <w:rFonts w:ascii="Microsoft JhengHei" w:hAnsi="Microsoft JhengHei"/>
          <w:b/>
          <w:color w:val="1E293B"/>
          <w:sz w:val="21"/>
        </w:rPr>
        <w:t>2. 分期實質選擇權（Real Options Approach）：</w:t>
      </w:r>
      <w:r>
        <w:rPr>
          <w:rFonts w:ascii="Microsoft JhengHei" w:hAnsi="Microsoft JhengHei"/>
          <w:color w:val="334155"/>
          <w:sz w:val="21"/>
        </w:rPr>
        <w:t>不進行一次性全額翻修。第一階段（2024H1）先改裝40%最具指標性之旗艦產線以符合客戶查核；視2024H2國際碳稅與對手減碳進度，再啟動第二階段擴大改造。</w:t>
      </w:r>
    </w:p>
    <w:p>
      <w:pPr>
        <w:spacing w:before="0" w:after="120" w:line="300" w:lineRule="auto"/>
      </w:pPr>
      <w:r>
        <w:rPr>
          <w:rFonts w:ascii="Microsoft JhengHei" w:hAnsi="Microsoft JhengHei"/>
          <w:b/>
          <w:color w:val="1E293B"/>
          <w:sz w:val="21"/>
        </w:rPr>
        <w:t>3. 長約綁定與綠色溢價：</w:t>
      </w:r>
      <w:r>
        <w:rPr>
          <w:rFonts w:ascii="Microsoft JhengHei" w:hAnsi="Microsoft JhengHei"/>
          <w:color w:val="334155"/>
          <w:sz w:val="21"/>
        </w:rPr>
        <w:t>以率先落成綠電示範廠為談判籌碼，要求Apple與Samsung簽訂3年保量保價之長期採購協議，並明訂高階製程之綠電溢價由品牌端合理分攤。</w:t>
      </w:r>
    </w:p>
    <w:p>
      <w:pPr>
        <w:spacing w:before="0" w:after="120" w:line="300" w:lineRule="auto"/>
      </w:pPr>
      <w:r>
        <w:rPr>
          <w:rFonts w:ascii="Microsoft JhengHei" w:hAnsi="Microsoft JhengHei"/>
          <w:color w:val="334155"/>
          <w:sz w:val="21"/>
        </w:rPr>
        <w:t>【方案丁之財務成果】：長期借款維持在25億美元（不膨脹）、期末現金充沛保留在8.5億美元、負債比降至41.6%、ROE攀升至16.1%（全方案最高）。同時滿足執行長（成本不失控）、財務長（現金高安全）、永續長（合規保訂單）之三角平衡！</w:t>
      </w:r>
    </w:p>
    <w:p>
      <w:pPr>
        <w:keepNext/>
        <w:spacing w:before="320" w:after="120"/>
      </w:pPr>
      <w:r>
        <w:rPr>
          <w:rFonts w:ascii="Microsoft JhengHei" w:hAnsi="Microsoft JhengHei"/>
          <w:b/>
          <w:color w:val="0F172A"/>
          <w:sz w:val="30"/>
        </w:rPr>
        <w:t>陸、NPV 雙重視角計算解析（專案獨立評估法 vs. 戰略機會成本法）</w:t>
      </w:r>
    </w:p>
    <w:p>
      <w:pPr>
        <w:spacing w:before="0" w:after="120" w:line="300" w:lineRule="auto"/>
      </w:pPr>
      <w:r>
        <w:rPr>
          <w:rFonts w:ascii="Microsoft JhengHei" w:hAnsi="Microsoft JhengHei"/>
          <w:color w:val="334155"/>
          <w:sz w:val="21"/>
        </w:rPr>
        <w:t>個案教學指引中揭示了一項極具啟發性的財務評價工具，即對比兩種截然不同的 NPV 計算視角：</w:t>
      </w:r>
    </w:p>
    <w:p>
      <w:pPr>
        <w:spacing w:before="0" w:after="120" w:line="300" w:lineRule="auto"/>
      </w:pPr>
      <w:r>
        <w:rPr>
          <w:rFonts w:ascii="Microsoft JhengHei" w:hAnsi="Microsoft JhengHei"/>
          <w:color w:val="334155"/>
          <w:sz w:val="21"/>
        </w:rPr>
        <w:t>• 視角一：傳統專案獨立評估法 (Project-Standalone Approach)</w:t>
      </w:r>
    </w:p>
    <w:p>
      <w:pPr>
        <w:spacing w:before="0" w:after="120" w:line="300" w:lineRule="auto"/>
      </w:pPr>
      <w:r>
        <w:rPr>
          <w:rFonts w:ascii="Microsoft JhengHei" w:hAnsi="Microsoft JhengHei"/>
          <w:color w:val="334155"/>
          <w:sz w:val="21"/>
        </w:rPr>
        <w:t>僅計算投資本身直接省下的成本：每年節電5,000萬 + 碳稅省下1,000萬 + 綠債利息省下50萬，增量EBITDA為6,050萬美元。扣除2,000萬折舊與所得稅後，年度營運現金流為5,240萬美元。</w:t>
      </w:r>
    </w:p>
    <w:p>
      <w:pPr>
        <w:spacing w:before="0" w:after="120" w:line="300" w:lineRule="auto"/>
      </w:pPr>
      <w:r>
        <w:rPr>
          <w:rFonts w:ascii="Microsoft JhengHei" w:hAnsi="Microsoft JhengHei"/>
          <w:color w:val="334155"/>
          <w:sz w:val="21"/>
        </w:rPr>
        <w:t>靜態投資回收期 = 2.5億 / 0.524億 = 4.77年（接近5年，林財務長認為回收偏長）。5年期折現NPV（折現率8%）為 -4,080萬美元（小於零！），在傳統資本預算審核中應被否決。</w:t>
      </w:r>
    </w:p>
    <w:p>
      <w:pPr>
        <w:spacing w:before="0" w:after="120" w:line="300" w:lineRule="auto"/>
      </w:pPr>
      <w:r>
        <w:rPr>
          <w:rFonts w:ascii="Microsoft JhengHei" w:hAnsi="Microsoft JhengHei"/>
          <w:color w:val="334155"/>
          <w:sz w:val="21"/>
        </w:rPr>
        <w:t>• 視角二：戰略機會成本法 (Strategic Opportunity Cost Approach)</w:t>
      </w:r>
    </w:p>
    <w:p>
      <w:pPr>
        <w:spacing w:before="0" w:after="120" w:line="300" w:lineRule="auto"/>
      </w:pPr>
      <w:r>
        <w:rPr>
          <w:rFonts w:ascii="Microsoft JhengHei" w:hAnsi="Microsoft JhengHei"/>
          <w:color w:val="334155"/>
          <w:sz w:val="21"/>
        </w:rPr>
        <w:t>將「不做事的機會成本」納入考量：若不投資（方案甲），客戶將砍單5%，淨利從8.88億跌至3.14億。方案丙相較於方案甲的實際增量營運現金流為 4.34億美元/年！</w:t>
      </w:r>
    </w:p>
    <w:p>
      <w:pPr>
        <w:spacing w:before="0" w:after="120" w:line="300" w:lineRule="auto"/>
      </w:pPr>
      <w:r>
        <w:rPr>
          <w:rFonts w:ascii="Microsoft JhengHei" w:hAnsi="Microsoft JhengHei"/>
          <w:color w:val="334155"/>
          <w:sz w:val="21"/>
        </w:rPr>
        <w:t>實質投資回收期 = 2.5億 / 4.34億 = 0.58年（不到7個月即可全額回收！）。5年期折現NPV高達 +14.83億美元！</w:t>
      </w:r>
    </w:p>
    <w:p>
      <w:pPr>
        <w:spacing w:before="0" w:after="120" w:line="300" w:lineRule="auto"/>
      </w:pPr>
      <w:r>
        <w:rPr>
          <w:rFonts w:ascii="Microsoft JhengHei" w:hAnsi="Microsoft JhengHei"/>
          <w:color w:val="334155"/>
          <w:sz w:val="21"/>
        </w:rPr>
        <w:t>【核心教學啟示】：氣候轉型投資本質上是一項「防禦性生存投資」。若將企業面臨的邊緣化與撤單風險折現，轉型投資的戰略回報極高。</w:t>
      </w:r>
    </w:p>
    <w:p>
      <w:pPr>
        <w:keepNext/>
        <w:spacing w:before="320" w:after="120"/>
      </w:pPr>
      <w:r>
        <w:rPr>
          <w:rFonts w:ascii="Microsoft JhengHei" w:hAnsi="Microsoft JhengHei"/>
          <w:b/>
          <w:color w:val="0F172A"/>
          <w:sz w:val="30"/>
        </w:rPr>
        <w:t>柒、給執行長與董事會的具體行動建議</w:t>
      </w:r>
    </w:p>
    <w:p>
      <w:pPr>
        <w:spacing w:before="0" w:after="120" w:line="300" w:lineRule="auto"/>
      </w:pPr>
      <w:r>
        <w:rPr>
          <w:rFonts w:ascii="Microsoft JhengHei" w:hAnsi="Microsoft JhengHei"/>
          <w:color w:val="334155"/>
          <w:sz w:val="21"/>
        </w:rPr>
        <w:t>1. 決策定位：揚棄「方案甲（保守）」的慢性自殺，但避免盲目全額背負「方案丙（重自購）」的資產負債表風險，全力推動「方案丁（模組化輕資產）」。</w:t>
      </w:r>
    </w:p>
    <w:p>
      <w:pPr>
        <w:spacing w:before="0" w:after="120" w:line="300" w:lineRule="auto"/>
      </w:pPr>
      <w:r>
        <w:rPr>
          <w:rFonts w:ascii="Microsoft JhengHei" w:hAnsi="Microsoft JhengHei"/>
          <w:color w:val="334155"/>
          <w:sz w:val="21"/>
        </w:rPr>
        <w:t>2. 融資結構：立即發行5,000萬至1億美元第三方認證綠色債券，鎖定調降0.5%之利率優惠，並向外資ESG機構投資人（如BlackRock）積極路演以穩定市場估值。</w:t>
      </w:r>
    </w:p>
    <w:p>
      <w:pPr>
        <w:spacing w:before="0" w:after="120" w:line="300" w:lineRule="auto"/>
      </w:pPr>
      <w:r>
        <w:rPr>
          <w:rFonts w:ascii="Microsoft JhengHei" w:hAnsi="Microsoft JhengHei"/>
          <w:color w:val="334155"/>
          <w:sz w:val="21"/>
        </w:rPr>
        <w:t>3. 棕色資產處理：啟動全廠「碳資產審計」，主動對高排碳產線採取加速折舊，縮短剩餘耐用年限，防範未來政策突變時一次性提列巨額減損打穿淨值。</w:t>
      </w:r>
    </w:p>
    <w:p>
      <w:pPr>
        <w:spacing w:before="0" w:after="120" w:line="300" w:lineRule="auto"/>
      </w:pPr>
      <w:r>
        <w:rPr>
          <w:rFonts w:ascii="Microsoft JhengHei" w:hAnsi="Microsoft JhengHei"/>
          <w:color w:val="334155"/>
          <w:sz w:val="21"/>
        </w:rPr>
        <w:t>4. 商業模式升級：從純代工製造轉型為提供供應鏈碳足跡盤查與綠色設計的整合服務商，將ESG從成本中心轉化為獲取新訂單的利潤中心。</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