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3672"/>
            <w:shd w:fill="F5FAFF"/>
            <w:tcBorders>
              <w:top w:val="single" w:sz="4" w:space="0" w:color="F5FAFF"/>
              <w:left w:val="single" w:sz="4" w:space="0" w:color="F5FAFF"/>
              <w:bottom w:val="single" w:sz="4" w:space="0" w:color="F5FAFF"/>
              <w:right w:val="single" w:sz="4" w:space="0" w:color="F5FAFF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0B3A8F"/>
                <w:sz w:val="28"/>
              </w:rPr>
              <w:t>股市晨報 AI</w:t>
            </w:r>
          </w:p>
          <w:p>
            <w:pPr>
              <w:spacing w:before="400" w:after="120"/>
            </w:pPr>
            <w:r>
              <w:rPr>
                <w:rFonts w:ascii="Microsoft JhengHei" w:hAnsi="Microsoft JhengHei" w:eastAsia="Microsoft JhengHei"/>
                <w:b/>
                <w:color w:val="071B5C"/>
                <w:sz w:val="64"/>
              </w:rPr>
              <w:t>晨間</w:t>
              <w:br/>
              <w:t>股市</w:t>
              <w:br/>
              <w:t>摘要</w:t>
            </w:r>
          </w:p>
          <w:p>
            <w:r>
              <w:rPr>
                <w:rFonts w:ascii="Microsoft JhengHei" w:hAnsi="Microsoft JhengHei" w:eastAsia="Microsoft JhengHei"/>
                <w:b/>
                <w:color w:val="15213B"/>
                <w:sz w:val="26"/>
              </w:rPr>
              <w:t>一頁掌握盤前重點</w:t>
            </w:r>
          </w:p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72"/>
            </w:tblGrid>
            <w:tr>
              <w:tc>
                <w:tcPr>
                  <w:tcW w:type="dxa" w:w="3672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17"/>
                    </w:rPr>
                    <w:t>K線均線 / 動能</w:t>
                  </w:r>
                </w:p>
              </w:tc>
            </w:tr>
          </w:tbl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72"/>
            </w:tblGrid>
            <w:tr>
              <w:tc>
                <w:tcPr>
                  <w:tcW w:type="dxa" w:w="3672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17"/>
                    </w:rPr>
                    <w:t>法人買賣超</w:t>
                  </w:r>
                </w:p>
              </w:tc>
            </w:tr>
          </w:tbl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72"/>
            </w:tblGrid>
            <w:tr>
              <w:tc>
                <w:tcPr>
                  <w:tcW w:type="dxa" w:w="3672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17"/>
                    </w:rPr>
                    <w:t>融資融券 / 台指期</w:t>
                  </w:r>
                </w:p>
              </w:tc>
            </w:tr>
          </w:tbl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72"/>
            </w:tblGrid>
            <w:tr>
              <w:tc>
                <w:tcPr>
                  <w:tcW w:type="dxa" w:w="3672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17"/>
                    </w:rPr>
                    <w:t>候選股雷達</w:t>
                  </w:r>
                </w:p>
              </w:tc>
            </w:tr>
          </w:tbl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72"/>
            </w:tblGrid>
            <w:tr>
              <w:tc>
                <w:tcPr>
                  <w:tcW w:type="dxa" w:w="3672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17"/>
                    </w:rPr>
                    <w:t>新聞 / AI 摘要</w:t>
                  </w:r>
                </w:p>
              </w:tc>
            </w:tr>
          </w:tbl>
          <w:p/>
          <w:p>
            <w:pPr>
              <w:spacing w:before="360"/>
            </w:pPr>
            <w:r>
              <w:rPr>
                <w:rFonts w:ascii="Microsoft JhengHei" w:hAnsi="Microsoft JhengHei" w:eastAsia="Microsoft JhengHei"/>
                <w:b w:val="0"/>
                <w:color w:val="64748B"/>
                <w:sz w:val="17"/>
              </w:rPr>
              <w:t>報告日期  2026-06-15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64748B"/>
                <w:sz w:val="17"/>
              </w:rPr>
              <w:t>資料日期  2026-06-12</w:t>
            </w:r>
          </w:p>
        </w:tc>
        <w:tc>
          <w:tcPr>
            <w:tcW w:type="dxa" w:w="11016"/>
            <w:shd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08"/>
              <w:gridCol w:w="5508"/>
            </w:tblGrid>
            <w:tr>
              <w:tc>
                <w:tcPr>
                  <w:tcW w:type="dxa" w:w="5508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FFFFFF"/>
                </w:tcPr>
                <w:p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34"/>
                    </w:rPr>
                    <w:t>台股盤前雷達</w:t>
                  </w: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20"/>
                    </w:rPr>
                    <w:t xml:space="preserve">  加權指數 44,169.04</w:t>
                  </w:r>
                </w:p>
                <w:p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20"/>
                    </w:rPr>
                    <w:t>強勢盤</w:t>
                  </w:r>
                </w:p>
              </w:tc>
              <w:tc>
                <w:tcPr>
                  <w:tcW w:type="dxa" w:w="5508"/>
                  <w:shd w:fill="FFFFFF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Microsoft JhengHei" w:hAnsi="Microsoft JhengHei" w:eastAsia="Microsoft JhengHei"/>
                      <w:b/>
                      <w:color w:val="0FA878"/>
                      <w:sz w:val="20"/>
                    </w:rPr>
                    <w:t>市場語氣  偏多但須控風險</w:t>
                  </w:r>
                </w:p>
                <w:p>
                  <w:pPr>
                    <w:jc w:val="right"/>
                  </w:pPr>
                  <w:r>
                    <w:rPr>
                      <w:rFonts w:ascii="Microsoft JhengHei" w:hAnsi="Microsoft JhengHei" w:eastAsia="Microsoft JhengHei"/>
                      <w:b w:val="0"/>
                      <w:color w:val="E23B4A"/>
                      <w:sz w:val="17"/>
                    </w:rPr>
                    <w:t>本報告僅供研究與教育參考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203"/>
              <w:gridCol w:w="2203"/>
              <w:gridCol w:w="2203"/>
              <w:gridCol w:w="2203"/>
              <w:gridCol w:w="2203"/>
            </w:tblGrid>
            <w:tr>
              <w:tc>
                <w:tcPr>
                  <w:tcW w:type="dxa" w:w="2203"/>
                  <w:shd w:fill="F8FB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64748B"/>
                      <w:sz w:val="17"/>
                    </w:rPr>
                    <w:t>加權指數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/>
                      <w:color w:val="0FA878"/>
                      <w:sz w:val="30"/>
                    </w:rPr>
                    <w:t>44,169.04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6"/>
                    </w:rPr>
                    <w:t>高於 MA20/60/120</w:t>
                  </w:r>
                </w:p>
              </w:tc>
              <w:tc>
                <w:tcPr>
                  <w:tcW w:type="dxa" w:w="2203"/>
                  <w:shd w:fill="F8FB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64748B"/>
                      <w:sz w:val="17"/>
                    </w:rPr>
                    <w:t>技術門檻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/>
                      <w:color w:val="0B3A8F"/>
                      <w:sz w:val="30"/>
                    </w:rPr>
                    <w:t>5 / 7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6"/>
                    </w:rPr>
                    <w:t>強勢盤標準</w:t>
                  </w:r>
                </w:p>
              </w:tc>
              <w:tc>
                <w:tcPr>
                  <w:tcW w:type="dxa" w:w="2203"/>
                  <w:shd w:fill="F8FB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64748B"/>
                      <w:sz w:val="17"/>
                    </w:rPr>
                    <w:t>候選股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/>
                      <w:color w:val="0B3A8F"/>
                      <w:sz w:val="30"/>
                    </w:rPr>
                    <w:t>10 檔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6"/>
                    </w:rPr>
                    <w:t>Top 10</w:t>
                  </w:r>
                </w:p>
              </w:tc>
              <w:tc>
                <w:tcPr>
                  <w:tcW w:type="dxa" w:w="2203"/>
                  <w:shd w:fill="F8FB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64748B"/>
                      <w:sz w:val="17"/>
                    </w:rPr>
                    <w:t>投入區間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/>
                      <w:color w:val="E23B4A"/>
                      <w:sz w:val="30"/>
                    </w:rPr>
                    <w:t>80%-100%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6"/>
                    </w:rPr>
                    <w:t>模型參考</w:t>
                  </w:r>
                </w:p>
              </w:tc>
              <w:tc>
                <w:tcPr>
                  <w:tcW w:type="dxa" w:w="2203"/>
                  <w:shd w:fill="F8FB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  <w:vAlign w:val="center"/>
                </w:tcPr>
                <w:p>
                  <w:pPr>
                    <w:spacing w:after="0" w:line="252" w:lineRule="auto"/>
                    <w:jc w:val="center"/>
                  </w:pPr>
                  <w:r/>
                  <w:r>
                    <w:rPr>
                      <w:rFonts w:ascii="Microsoft JhengHei" w:hAnsi="Microsoft JhengHei" w:eastAsia="Microsoft JhengHei"/>
                      <w:b/>
                      <w:color w:val="64748B"/>
                      <w:sz w:val="17"/>
                    </w:rPr>
                    <w:t>資料筆數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/>
                      <w:color w:val="64748B"/>
                      <w:sz w:val="30"/>
                    </w:rPr>
                    <w:t>1082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6"/>
                    </w:rPr>
                    <w:t>上市日資料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72"/>
              <w:gridCol w:w="3672"/>
              <w:gridCol w:w="3672"/>
            </w:tblGrid>
            <w:tr>
              <w:tc>
                <w:tcPr>
                  <w:tcW w:type="dxa" w:w="3672"/>
                  <w:shd w:fill="FFFF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/>
                <w:p>
                  <w:pPr>
                    <w:spacing w:after="80"/>
                  </w:pPr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21"/>
                    </w:rPr>
                    <w:t>美股主要指數</w:t>
                  </w:r>
                  <w:r>
                    <w:rPr>
                      <w:rFonts w:ascii="Microsoft JhengHei" w:hAnsi="Microsoft JhengHei" w:eastAsia="Microsoft JhengHei"/>
                      <w:b w:val="0"/>
                      <w:color w:val="2F80ED"/>
                      <w:sz w:val="17"/>
                    </w:rPr>
                    <w:t xml:space="preserve">    最新可得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0FA878"/>
                      <w:sz w:val="17"/>
                    </w:rPr>
                    <w:t>道瓊  +0.7%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0FA878"/>
                      <w:sz w:val="17"/>
                    </w:rPr>
                    <w:t>S&amp;P 500  +0.5%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0FA878"/>
                      <w:sz w:val="17"/>
                    </w:rPr>
                    <w:t>Nasdaq  +0.3%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7"/>
                    </w:rPr>
                    <w:t>費半  待正式資料源補齊</w:t>
                  </w:r>
                </w:p>
              </w:tc>
              <w:tc>
                <w:tcPr>
                  <w:tcW w:type="dxa" w:w="3672"/>
                  <w:shd w:fill="FFFF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/>
                <w:p>
                  <w:pPr>
                    <w:spacing w:after="80"/>
                  </w:pPr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21"/>
                    </w:rPr>
                    <w:t>大盤濾網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Close 44,169.04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MA20 43,568.72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MA60 39,157.44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MA120 35,237.34</w:t>
                  </w:r>
                </w:p>
              </w:tc>
              <w:tc>
                <w:tcPr>
                  <w:tcW w:type="dxa" w:w="3672"/>
                  <w:shd w:fill="FFFF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/>
                <w:p>
                  <w:pPr>
                    <w:spacing w:after="80"/>
                  </w:pPr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21"/>
                    </w:rPr>
                    <w:t>資料狀態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E23B4A"/>
                      <w:sz w:val="17"/>
                    </w:rPr>
                    <w:t>TWSE 線上下載受 SSL 影響，已回退本地最新交易日資料。</w:t>
                  </w:r>
                </w:p>
                <w:p>
                  <w:r>
                    <w:rPr>
                      <w:rFonts w:ascii="Microsoft JhengHei" w:hAnsi="Microsoft JhengHei" w:eastAsia="Microsoft JhengHei"/>
                      <w:b/>
                      <w:color w:val="15213B"/>
                      <w:sz w:val="17"/>
                    </w:rPr>
                    <w:t>資料日期：2026-06-12</w:t>
                  </w:r>
                </w:p>
              </w:tc>
            </w:tr>
            <w:tr>
              <w:tc>
                <w:tcPr>
                  <w:tcW w:type="dxa" w:w="3672"/>
                  <w:shd w:fill="FFFF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/>
                <w:p>
                  <w:pPr>
                    <w:spacing w:after="80"/>
                  </w:pPr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21"/>
                    </w:rPr>
                    <w:t>技術訊號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672"/>
                  </w:tblGrid>
                  <w:tr>
                    <w:tc>
                      <w:tcPr>
                        <w:tcW w:type="dxa" w:w="3672"/>
                        <w:shd w:fill="ECFDF5"/>
                        <w:tcBorders>
                          <w:top w:val="single" w:sz="4" w:space="0" w:color="ECFDF5"/>
                          <w:left w:val="single" w:sz="4" w:space="0" w:color="ECFDF5"/>
                          <w:bottom w:val="single" w:sz="4" w:space="0" w:color="ECFDF5"/>
                          <w:right w:val="single" w:sz="4" w:space="0" w:color="ECFDF5"/>
                        </w:tcBorders>
                        <w:tcMar>
                          <w:top w:w="55" w:type="dxa"/>
                          <w:start w:w="90" w:type="dxa"/>
                          <w:bottom w:w="55" w:type="dxa"/>
                          <w:end w:w="90" w:type="dxa"/>
                        </w:tcMar>
                        <w:vAlign w:val="center"/>
                      </w:tcPr>
                      <w:p>
                        <w:pPr>
                          <w:spacing w:after="0" w:line="252" w:lineRule="auto"/>
                          <w:jc w:val="center"/>
                        </w:pPr>
                        <w:r/>
                        <w:r>
                          <w:rPr>
                            <w:rFonts w:ascii="Microsoft JhengHei" w:hAnsi="Microsoft JhengHei" w:eastAsia="Microsoft JhengHei"/>
                            <w:b/>
                            <w:color w:val="0FA878"/>
                            <w:sz w:val="17"/>
                          </w:rPr>
                          <w:t>多頭排列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672"/>
                  </w:tblGrid>
                  <w:tr>
                    <w:tc>
                      <w:tcPr>
                        <w:tcW w:type="dxa" w:w="3672"/>
                        <w:shd w:fill="ECFDF5"/>
                        <w:tcBorders>
                          <w:top w:val="single" w:sz="4" w:space="0" w:color="ECFDF5"/>
                          <w:left w:val="single" w:sz="4" w:space="0" w:color="ECFDF5"/>
                          <w:bottom w:val="single" w:sz="4" w:space="0" w:color="ECFDF5"/>
                          <w:right w:val="single" w:sz="4" w:space="0" w:color="ECFDF5"/>
                        </w:tcBorders>
                        <w:tcMar>
                          <w:top w:w="55" w:type="dxa"/>
                          <w:start w:w="90" w:type="dxa"/>
                          <w:bottom w:w="55" w:type="dxa"/>
                          <w:end w:w="90" w:type="dxa"/>
                        </w:tcMar>
                        <w:vAlign w:val="center"/>
                      </w:tcPr>
                      <w:p>
                        <w:pPr>
                          <w:spacing w:after="0" w:line="252" w:lineRule="auto"/>
                          <w:jc w:val="center"/>
                        </w:pPr>
                        <w:r/>
                        <w:r>
                          <w:rPr>
                            <w:rFonts w:ascii="Microsoft JhengHei" w:hAnsi="Microsoft JhengHei" w:eastAsia="Microsoft JhengHei"/>
                            <w:b/>
                            <w:color w:val="0FA878"/>
                            <w:sz w:val="17"/>
                          </w:rPr>
                          <w:t>突破 / 量能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672"/>
                  </w:tblGrid>
                  <w:tr>
                    <w:tc>
                      <w:tcPr>
                        <w:tcW w:type="dxa" w:w="3672"/>
                        <w:shd w:fill="ECFDF5"/>
                        <w:tcBorders>
                          <w:top w:val="single" w:sz="4" w:space="0" w:color="ECFDF5"/>
                          <w:left w:val="single" w:sz="4" w:space="0" w:color="ECFDF5"/>
                          <w:bottom w:val="single" w:sz="4" w:space="0" w:color="ECFDF5"/>
                          <w:right w:val="single" w:sz="4" w:space="0" w:color="ECFDF5"/>
                        </w:tcBorders>
                        <w:tcMar>
                          <w:top w:w="55" w:type="dxa"/>
                          <w:start w:w="90" w:type="dxa"/>
                          <w:bottom w:w="55" w:type="dxa"/>
                          <w:end w:w="90" w:type="dxa"/>
                        </w:tcMar>
                        <w:vAlign w:val="center"/>
                      </w:tcPr>
                      <w:p>
                        <w:pPr>
                          <w:spacing w:after="0" w:line="252" w:lineRule="auto"/>
                          <w:jc w:val="center"/>
                        </w:pPr>
                        <w:r/>
                        <w:r>
                          <w:rPr>
                            <w:rFonts w:ascii="Microsoft JhengHei" w:hAnsi="Microsoft JhengHei" w:eastAsia="Microsoft JhengHei"/>
                            <w:b/>
                            <w:color w:val="0FA878"/>
                            <w:sz w:val="17"/>
                          </w:rPr>
                          <w:t>Momentum 正向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672"/>
                  </w:tblGrid>
                  <w:tr>
                    <w:tc>
                      <w:tcPr>
                        <w:tcW w:type="dxa" w:w="3672"/>
                        <w:shd w:fill="FFF1F2"/>
                        <w:tcBorders>
                          <w:top w:val="single" w:sz="4" w:space="0" w:color="FFF1F2"/>
                          <w:left w:val="single" w:sz="4" w:space="0" w:color="FFF1F2"/>
                          <w:bottom w:val="single" w:sz="4" w:space="0" w:color="FFF1F2"/>
                          <w:right w:val="single" w:sz="4" w:space="0" w:color="FFF1F2"/>
                        </w:tcBorders>
                        <w:tcMar>
                          <w:top w:w="55" w:type="dxa"/>
                          <w:start w:w="90" w:type="dxa"/>
                          <w:bottom w:w="55" w:type="dxa"/>
                          <w:end w:w="90" w:type="dxa"/>
                        </w:tcMar>
                        <w:vAlign w:val="center"/>
                      </w:tcPr>
                      <w:p>
                        <w:pPr>
                          <w:spacing w:after="0" w:line="252" w:lineRule="auto"/>
                          <w:jc w:val="center"/>
                        </w:pPr>
                        <w:r/>
                        <w:r>
                          <w:rPr>
                            <w:rFonts w:ascii="Microsoft JhengHei" w:hAnsi="Microsoft JhengHei" w:eastAsia="Microsoft JhengHei"/>
                            <w:b/>
                            <w:color w:val="E23B4A"/>
                            <w:sz w:val="17"/>
                          </w:rPr>
                          <w:t>KD / RSI 需續追蹤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  <w:shd w:fill="FFFF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/>
                <w:p>
                  <w:pPr>
                    <w:spacing w:after="80"/>
                  </w:pPr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21"/>
                    </w:rPr>
                    <w:t>新聞 / AI 摘要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美股收盤偏多，風險偏好仍在。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候選股集中電子零組件與電腦週邊。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若外資或期貨轉弱，追價風險升高。</w:t>
                  </w:r>
                </w:p>
              </w:tc>
              <w:tc>
                <w:tcPr>
                  <w:tcW w:type="dxa" w:w="3672"/>
                  <w:shd w:fill="FFFFFF"/>
                  <w:tcBorders>
                    <w:top w:val="single" w:sz="8" w:space="0" w:color="D7E3F5"/>
                    <w:left w:val="single" w:sz="8" w:space="0" w:color="D7E3F5"/>
                    <w:bottom w:val="single" w:sz="8" w:space="0" w:color="D7E3F5"/>
                    <w:right w:val="single" w:sz="8" w:space="0" w:color="D7E3F5"/>
                  </w:tcBorders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/>
                <w:p>
                  <w:pPr>
                    <w:spacing w:after="80"/>
                  </w:pPr>
                  <w:r>
                    <w:rPr>
                      <w:rFonts w:ascii="Microsoft JhengHei" w:hAnsi="Microsoft JhengHei" w:eastAsia="Microsoft JhengHei"/>
                      <w:b/>
                      <w:color w:val="071B5C"/>
                      <w:sz w:val="21"/>
                    </w:rPr>
                    <w:t>AI 多空總結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17"/>
                    </w:rPr>
                    <w:t>AI 評分</w:t>
                  </w:r>
                </w:p>
                <w:p>
                  <w:pPr>
                    <w:jc w:val="center"/>
                  </w:pPr>
                  <w:r>
                    <w:rPr>
                      <w:rFonts w:ascii="Microsoft JhengHei" w:hAnsi="Microsoft JhengHei" w:eastAsia="Microsoft JhengHei"/>
                      <w:b/>
                      <w:color w:val="0B3A8F"/>
                      <w:sz w:val="56"/>
                    </w:rPr>
                    <w:t>82</w:t>
                  </w:r>
                  <w:r>
                    <w:rPr>
                      <w:rFonts w:ascii="Microsoft JhengHei" w:hAnsi="Microsoft JhengHei" w:eastAsia="Microsoft JhengHei"/>
                      <w:b w:val="0"/>
                      <w:color w:val="64748B"/>
                      <w:sz w:val="20"/>
                    </w:rPr>
                    <w:t xml:space="preserve"> / 100</w:t>
                  </w:r>
                </w:p>
                <w:p>
                  <w:r>
                    <w:rPr>
                      <w:rFonts w:ascii="Microsoft JhengHei" w:hAnsi="Microsoft JhengHei" w:eastAsia="Microsoft JhengHei"/>
                      <w:b w:val="0"/>
                      <w:color w:val="15213B"/>
                      <w:sz w:val="17"/>
                    </w:rPr>
                    <w:t>偏多：趨勢仍在；風險：資料源與追高壓力。</w:t>
                  </w:r>
                </w:p>
              </w:tc>
            </w:tr>
          </w:tbl>
          <w:p/>
          <w:p>
            <w:pPr>
              <w:spacing w:before="80"/>
            </w:pPr>
            <w:r>
              <w:drawing>
                <wp:inline xmlns:a="http://schemas.openxmlformats.org/drawingml/2006/main" xmlns:pic="http://schemas.openxmlformats.org/drawingml/2006/picture">
                  <wp:extent cx="6720840" cy="26883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dashboard_score_ch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840" cy="2688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ectPr>
          <w:footerReference w:type="default" r:id="rId10"/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r>
        <w:rPr>
          <w:rFonts w:ascii="Microsoft JhengHei" w:hAnsi="Microsoft JhengHei" w:eastAsia="Microsoft JhengHei"/>
          <w:b/>
          <w:color w:val="071B5C"/>
          <w:sz w:val="34"/>
        </w:rPr>
        <w:t>技術面買入候選清單</w:t>
      </w:r>
    </w:p>
    <w:p>
      <w:r>
        <w:rPr>
          <w:rFonts w:ascii="Microsoft JhengHei" w:hAnsi="Microsoft JhengHei" w:eastAsia="Microsoft JhengHei"/>
          <w:b w:val="0"/>
          <w:color w:val="64748B"/>
          <w:sz w:val="19"/>
        </w:rPr>
        <w:t>依七項技術指標、季節循環與風險控管條件排序；非個人化投資建議。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864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代號</w:t>
            </w:r>
          </w:p>
        </w:tc>
        <w:tc>
          <w:tcPr>
            <w:tcW w:type="dxa" w:w="1224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公司</w:t>
            </w:r>
          </w:p>
        </w:tc>
        <w:tc>
          <w:tcPr>
            <w:tcW w:type="dxa" w:w="1440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產業</w:t>
            </w:r>
          </w:p>
        </w:tc>
        <w:tc>
          <w:tcPr>
            <w:tcW w:type="dxa" w:w="936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收盤</w:t>
            </w:r>
          </w:p>
        </w:tc>
        <w:tc>
          <w:tcPr>
            <w:tcW w:type="dxa" w:w="792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訊號</w:t>
            </w:r>
          </w:p>
        </w:tc>
        <w:tc>
          <w:tcPr>
            <w:tcW w:type="dxa" w:w="2880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主因</w:t>
            </w:r>
          </w:p>
        </w:tc>
        <w:tc>
          <w:tcPr>
            <w:tcW w:type="dxa" w:w="2232"/>
            <w:shd w:fill="E8EEF5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71B5C"/>
                <w:sz w:val="17"/>
              </w:rPr>
              <w:t>風險提醒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6153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嘉聯益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電子零組件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22.25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2413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環科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電子零組件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61.20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8112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至上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電子通路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98.80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6691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洋基工程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其他電子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689.00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2380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虹光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電腦及週邊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6.43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6834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天二科技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電子零組件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84.10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1423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利華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紡織纖維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45.10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3090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日電貿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電子零組件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256.00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3022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威強電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電腦及週邊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87.10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7/7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價均距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  <w:tr>
        <w:tc>
          <w:tcPr>
            <w:tcW w:type="dxa" w:w="86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3550</w:t>
            </w:r>
          </w:p>
        </w:tc>
        <w:tc>
          <w:tcPr>
            <w:tcW w:type="dxa" w:w="1224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聯穎</w:t>
            </w:r>
          </w:p>
        </w:tc>
        <w:tc>
          <w:tcPr>
            <w:tcW w:type="dxa" w:w="144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電子零組件</w:t>
            </w:r>
          </w:p>
        </w:tc>
        <w:tc>
          <w:tcPr>
            <w:tcW w:type="dxa" w:w="936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29.05</w:t>
            </w:r>
          </w:p>
        </w:tc>
        <w:tc>
          <w:tcPr>
            <w:tcW w:type="dxa" w:w="79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6/7</w:t>
            </w:r>
          </w:p>
        </w:tc>
        <w:tc>
          <w:tcPr>
            <w:tcW w:type="dxa" w:w="2880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動能 / 52週高點 / 均線 / 週轉 / 突破 / 量能</w:t>
            </w:r>
          </w:p>
        </w:tc>
        <w:tc>
          <w:tcPr>
            <w:tcW w:type="dxa" w:w="2232"/>
            <w:tcBorders>
              <w:top w:val="single" w:sz="8" w:space="0" w:color="D7E3F5"/>
              <w:left w:val="single" w:sz="8" w:space="0" w:color="D7E3F5"/>
              <w:bottom w:val="single" w:sz="8" w:space="0" w:color="D7E3F5"/>
              <w:right w:val="single" w:sz="8" w:space="0" w:color="D7E3F5"/>
            </w:tcBorders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5213B"/>
                <w:sz w:val="16"/>
              </w:rPr>
              <w:t>量縮、追高或大盤轉弱需降風險。</w:t>
            </w:r>
          </w:p>
        </w:tc>
      </w:tr>
    </w:tbl>
    <w:p>
      <w:pPr>
        <w:spacing w:before="200"/>
      </w:pPr>
      <w:r>
        <w:rPr>
          <w:rFonts w:ascii="Microsoft JhengHei" w:hAnsi="Microsoft JhengHei" w:eastAsia="Microsoft JhengHei"/>
          <w:b/>
          <w:color w:val="E23B4A"/>
          <w:sz w:val="24"/>
        </w:rPr>
        <w:t>資料限制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5213B"/>
          <w:sz w:val="18"/>
        </w:rPr>
        <w:t>台股資料日期：2026-06-12；資料筆數：1082。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5213B"/>
          <w:sz w:val="18"/>
        </w:rPr>
        <w:t>三大法人、融資融券、台指期與全球指數需正式資料源補齊後可完整呈現。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15213B"/>
          <w:sz w:val="18"/>
        </w:rPr>
        <w:t>TWSE 線上下載目前受 SSL/連線限制影響，本次使用本地最新交易日資料。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6"/>
      </w:rPr>
      <w:t>僅供市場研究與教育參考，不構成個人化投資建議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