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(W35)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週期：2026/08/24–2026/08/30　｜　整體時間執行率：87.6%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6.45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215.0%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115.8%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133.82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2.47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77.9%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20.43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87.3%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08/24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71分 / 3.40km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(89%,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08/26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8.40km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9.79km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(107%,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56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37.27km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Treadmill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4.66km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✨ 動態排酸 (A)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27分 / 7.00km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✨ 動態排酸 (A)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3.05km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(80%,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3.5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210分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228分 / 89.55km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(109%,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轉換40分 （Z1~Z2）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39分 / 5.98km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(98%,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75 (心率上限 140)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2600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133.82 km、跑步 20.43 km、游泳 6.45 km，整體時間執行率達 87.6%。</w:t>
        <w:br/>
      </w:r>
      <w:r>
        <w:t>• Base 3-4 (Recovery) 減量與超量吸收週扎實執行：在控制總時數的同時，維持長距離耐力與關鍵轉換刺激，疲勞控制與體感維持極佳狀態。</w:t>
        <w:br/>
      </w:r>
      <w:r>
        <w:t>• 週六長距離單車 89.55km ＋ 轉換跑 40 分鐘高質量完成：8/29 長騎 3:49 (NP 171W, 均心 129 bpm, 243.5 TSS) 達成率 109%，心率 80% 穩健落在 Z1-Z2；下車後無縫換鞋執行 39:49 轉換跑 (5.98km, 6:39/km, 均心 158 bpm Z2, 均瓦 240W, 步頻 170 spm)，體感滿分 5/5，完美模擬鐵人下車轉向適應！</w:t>
        <w:br/>
      </w:r>
      <w:r>
        <w:t>• 週四單車 TEMPO 56 (37.27km) 階梯漸進達標：8/27 單車 75 分鐘 (NP 148W, 148 bpm, TSS 65.0, VI 1.03) 踏頻穩在 84 rpm，高質量刺激有氧引擎。</w:t>
        <w:br/>
      </w:r>
      <w:r>
        <w:t>• 週二 Z2 有氧跑 9.79km 穩健巡航：8/26 跑步 64 分鐘 (6:34/km, 145 bpm)，步頻 174 spm，粒線體有氧打底效果優異。</w:t>
        <w:br/>
      </w:r>
      <w:r>
        <w:t>• 週三甜甜泳課 3.40km 水感延伸：8/25 游泳 71 分鐘 (2:06/100m, 136 bpm)，核心流線型支撐與划幅穩定。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W35 執行率報告 | 2026-08-24 ~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