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週期：2026/08/10–2026/08/16　｜　整體時間執行率：22.7%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78.6%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7.33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2.87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23.84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08/10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3-2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08/12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66分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 ( 或外騎 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轉換20分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08/14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 全程 (IF 0.8-0.7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轉換90分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W33 執行率報告 | 2026-08-10 ~ 2026-08-16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