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31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週期：2026/07/27－2026/08/02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上週（07/20–07/26）整體課表時間完成度達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94.9%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3.68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92.1%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11.10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277.5%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5.88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90.5%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146.91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103.6%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39.36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122.2%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4 次（累計 11.10 km / 3.68 小時），達計劃時間之 92.1%。這有助於奠定強大的水域自信，在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2 次（累計 146.91 km / 5.88 小時），達計劃時間之 90.5%。有氧耐力與瓦數輸出保持穩定。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39.36 km / 4.75 小時），達計劃時間之 103.6%。轉換跑與長跑步頻節奏保持良好，請繼續維持肌肉衝擊適應。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19.37 km、週騎量 75.82 km、週游量 8.13 km (整體執行率 68.7%)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04:26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全場未抽筋)：11:19 – 11:34 (預估中位數 11:26)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體力適當分配)：11:31 – 11:55 (預估中位數 11:43)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(後半程馬拉松掉速/抽筋)：11:46 – 12:21 (預估中位數 12:01)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07/27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 (減量週)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07/28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07/29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07/30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Endurance＋Run: 轉換跑 20分鐘（6:30~6:00）＋Bike: FTP 測試(沒測試下週期FTP+3%) or Endurance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07/31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08/01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08/02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有氧打底 5:40~6:00＋Run: 有氧打底 心率上限145bpm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A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分腿蹲 (Split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(強化單腿力量與平衡)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 (強化臀大肌與大腿後側膕繩肌)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 (Single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 (訓練腳踝與髖關節穩定)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30–45 秒／邊 (強化核心側向抗側彎能力)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 (核心抗伸展能力)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 (加強小腿與跟腱強度)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2026-07-27 至 2026-08-02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