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8"/>
        </w:rPr>
        <w:t>當週肌力訓練計畫</w:t>
      </w:r>
    </w:p>
    <w:p>
      <w:r>
        <w:rPr>
          <w:rFonts w:ascii="Calibri" w:hAnsi="Calibri" w:eastAsia="Microsoft JhengHei"/>
          <w:b w:val="0"/>
          <w:color w:val="555555"/>
          <w:sz w:val="21"/>
        </w:rPr>
        <w:t>週期：2026/06/29－2026/07/05　｜　來源：TrainingPeaks Calendar Sync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安排原則：保留 TP 主課品質；主肌力課放在低負荷日，游泳日可加短課，長距離與品質課不疊加腿部負荷。</w:t>
      </w:r>
    </w:p>
    <w:p>
      <w:pPr>
        <w:pStyle w:val="Heading1"/>
      </w:pPr>
      <w:r>
        <w:t>本週安排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20"/>
              </w:rPr>
              <w:t>TP 當週訓練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20"/>
              </w:rPr>
              <w:t>肌力安排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06/29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休息： 基礎期 2-4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06/30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07/01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07/02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Bike: TEMPO 4x7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07/03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07/04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Bike: 大安～石門全家～大安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不排肌力；長距離日僅做 8–10 分鐘活動度。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07/05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Run: 有氧打底＋Swim: 3200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20"/>
              </w:rPr>
              <w:t>不排肌力；專注完成 TP 主課。</w:t>
            </w:r>
          </w:p>
        </w:tc>
      </w:tr>
    </w:tbl>
    <w:p>
      <w:pPr>
        <w:pStyle w:val="Heading2"/>
      </w:pPr>
      <w:r>
        <w:t>本週主課 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分腿蹲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羅馬尼亞硬舉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30–45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Dead bug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</w:t>
            </w:r>
          </w:p>
        </w:tc>
      </w:tr>
    </w:tbl>
    <w:p>
      <w:pPr>
        <w:pStyle w:val="Heading2"/>
      </w:pPr>
      <w:r>
        <w:t>短課模板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Dead bug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Bird dog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1"/>
        </w:rPr>
        <w:t>調整規則：若疼痛、睡眠不足或腿部疲勞明顯，取消短課；主課減為 2 組或改做活動度。任何銳痛立即停止。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2026-06-29 至 2026-07-05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