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30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週期：2026/07/20－2026/07/26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上週（07/13–07/19）整體課表時間完成度達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39.2%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3.67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91.7%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10.72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268.0%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1.22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22.1%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33.64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4.25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11.8%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35.00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4.59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13.1%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游泳量達 10.72 km，這有助於奠定強大的水域自信，在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單車順利完成長騎，累計 33.64 km，有氧耐力良好。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3 次（累計 4.59 km）。轉換跑與長跑步頻節奏保持良好，請繼續維持肌肉衝擊適應。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9.17 km、週騎量 37.74 km、週游量 5.26 km (整體執行率 55.8%)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05:45 | 馬拉松 04:40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全場未抽筋)：11:23 – 11:38 (預估中位數 11:30)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體力適當分配)：11:43 – 12:07 (預估中位數 11:55)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(後半程馬拉松掉速/抽筋)：12:09 – 12:44 (預估中位數 12:24)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07/20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Off＋休息： 基礎期1-3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07/21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07/22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甜甜課表＋Swim: Lap Swimming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07/23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75＋Run: 轉換跑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07/24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07/25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LSD＋Run: 轉換75分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07/26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4000＋Run: 有氧打底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B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臀推或橋式 (Hip Thrust)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8–10 下 (活化並強化臀大肌)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登階 (Step-up)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(模仿跑步推蹬與單腳穩定)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10–12 下／邊 (核心抗旋轉能力)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怪獸走 (Monster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 (激活臀中肌，防止膝外翻)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離心提踵 (Eccentric Calf)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8–12 下 (預防跟腱炎，加強推蹬剛性)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(舒緩久坐與騎車的緊繃)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2026-07-20 至 2026-07-26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