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(W34)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週期：2026/08/17–2026/08/23　｜　整體時間執行率：59.3%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2.05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76.9%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6.25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1.97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42.1%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41.40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77.3%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13.11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89.8%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33分 / 6.24km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3-3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08/18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57分 / 9.45km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🟠 自覺調整 (63%, B+)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08/19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3.15km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(79%,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35.16km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28分 / 3.66km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(140%,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08/21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 / 3.10km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(75%,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315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08/22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08/23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Walk: Walking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Other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28分 / 0.90km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✨ 動態排酸 (A)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41.40 km、跑步 13.11 km、游泳 6.25 km，整體時間執行率達 59.3%。</w:t>
        <w:br/>
      </w:r>
      <w:r>
        <w:t>• Base 3-3 調整週超補償節奏精準：在歷經 W33 大量週後，本週落實體能吸收與神經超補償，課表質優且疲勞管理得當。</w:t>
        <w:br/>
      </w:r>
      <w:r>
        <w:t>• 週四單車 TEMPO 3x15 ＋ 轉換跑精準達標：8/20 單車 85 分鐘 100% 達標 (NP 162W, 142 bpm)，TEMPO 區間精準鎖定在 155W-165W；下車後無縫銜接 28 分鐘 (3.66km) 轉換跑，高步頻 (176 spm) 與輕著地展現極佳的神經肌肉轉向適應力。</w:t>
        <w:br/>
      </w:r>
      <w:r>
        <w:t>• 週三甜甜泳課 3.15km 高效巡航：8/19 游泳 63 分鐘游出 2:02/100m 均速，核心流線型支撐與水感推進力優異。</w:t>
        <w:br/>
      </w:r>
      <w:r>
        <w:t>• 週二 Z2 跑步成熟自覺收操：8/18 跑步 57 分鐘 (9.45km, 6:06/km)，主動於 9.45km 適度收操防傷，既獲取有氧刺激又防範過度疲勞。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W34 執行率報告 | 2026-08-17 ~ 2026-08-23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