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(W33)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週期：2026/08/10–2026/08/16　｜　整體時間執行率：77.0%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4.17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2.23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53.6%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4.20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157.1%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7.83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130.6%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188.36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5.83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2.25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38.6%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51.60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19.68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38.1%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1100"/>
        <w:gridCol w:w="1600"/>
        <w:gridCol w:w="1600"/>
        <w:gridCol w:w="1160"/>
      </w:tblGrid>
      <w:tr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1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08/10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Base 3-2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08/11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11.60km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86分 / 11.92km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08/12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66分 / 3.30km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08/13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9'30 X 8 ( 或外騎 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194分 / 60.99km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08/13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轉換20分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 / 3.00km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19分 / 3.48km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08/14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68分 / 3.30km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08/15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 4.5 全程 (IF 0.8-0.7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276分 / 127.37km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08/15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轉換90分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14.00km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4.28km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08/16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福和橋～河濱～明德宮（補水則返）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150分 / 23.00km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08/16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4200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4.20km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 (Execution Highlights)</w:t>
      </w:r>
    </w:p>
    <w:p>
      <w:r>
        <w:t>• 當週累積自行車 188.36 km、跑步 19.68 km、游泳 6.60 km，整體時間執行率達 77.0%。</w:t>
        <w:br/>
      </w:r>
      <w:r>
        <w:t>• 長距離單車扎實完成，左右踩踏發力極為平衡 (50.5% / 49.5%)，座艙穩定度高。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需注意的細節與配速紀律 (Key Watchpoints &amp; Power Pacing)</w:t>
      </w:r>
    </w:p>
    <w:p>
      <w:r>
        <w:t>• 自行車長距離 (LSD) 功率控制：對標 Sub-11 藍圖 (5h30m / 140W-145W)，前段請克制輸出，爬坡嚴守 174W (85% FTP) 上限，避免有氧解離過大。</w:t>
        <w:br/>
      </w:r>
      <w:r>
        <w:t>• 下車前最後 10–15 公里主動降瓦至 123W–133W 並維持高踏頻，加速乳酸代謝。</w:t>
        <w:br/>
      </w:r>
      <w:r>
        <w:t>• 跑步維持 175–180 spm 步頻與短觸地時間，保護關節與下半程剛性。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持續每 1–2 小時補充含電解質飲品，直至尿液顏色恢復清淡。</w:t>
        <w:br/>
      </w:r>
      <w:r>
        <w:t>• 訓練後充足補充碳水化合物與每公斤體重 1.5–2.0g 優質蛋白質。</w:t>
        <w:br/>
      </w:r>
      <w:r>
        <w:t>• 單日累積 TSS 超過 300 時，次日請以完全休息或低心率排酸為主。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W33 執行率報告 | 2026-08-10 ~ 2026-08-16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