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(W38)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週期：2026/09/14–2026/09/20　｜　整體時間執行率：13.8%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3.83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3.50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6.60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0.67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10.1%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18.76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15.6%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4.50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1.40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31.1%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32.60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12.05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37.0%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09/14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1-3 Day Off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09/15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Threshold 5X3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 / 18.76km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09/15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11.60km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84分 / 12.05km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(93%,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09/16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09/17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3x18'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86分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09/17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 EASY 30分鐘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09/18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09/19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大安～中角灣～大安 IF 0.75~0.8 (本日重點)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270分 / 120.00km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09/19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 EASY 30分鐘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09/20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比賽配速 (本日重點)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120分 / 21.00km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09/20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3500 主課表：比賽配速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70分 / 3.50km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18.76 km、跑步 12.05 km、游泳 0.00 km，整體時間執行率達 13.8%。</w:t>
        <w:br/>
      </w:r>
      <w:r>
        <w:t>• Build 1-3 第一建構期巔峰週展開 (Peak Build Phase)：本週為第一建構期負荷最高峰，全週排定總訓練時長達 14.9 小時。截至目前已累積跑步 12.05 km (1.41 小時)，整體時間執行率達 13.8%。</w:t>
        <w:br/>
      </w:r>
      <w:r>
        <w:t>• 週二 12.05km 跑步專項高水準間歇 (80.4 rTSS)：9/15 早晨順利完成 1 小時 24 分 33 秒 12.05 km 跑步專項課表 (原定 11.60km，距離達成率 103.9% 超額完成，TSS 達成率 97.6%)。均速 7:01/km (均速 8.55 km/h，最快 4:00/km)，均瓦 212W (3.20 W/kg，最大 400W，做功 1,077.9 kJ)，均心率 155 bpm (最高 191 bpm 深度刺激心肌收縮與攝氧能力)。多組 400m 間歇衝刺組均速飆出 3:45~3:55/km，衝刺步頻高達 180~188 spm (最高 214 spm)！平均觸地時間僅 249ms、垂直比 8.0% (&lt;9% 頂級標準)，展現極致跑姿落地剛性與動態經濟性，體感自覺給出 5/5 極佳滿分！</w:t>
        <w:br/>
      </w:r>
      <w:r>
        <w:t>• 明日週三 50m 長池甜甜泳課動態排酸：明日排定 80 分鐘 50m 長池「甜甜課表」，善用長池水壓與浮力深度代謝今日下肢跑步乳酸，持續鞏固 Sub-11 (1:53/100m) 流線型水感，可查閱儀表板 #swim 專區最新游泳技術文章。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W38 執行率報告 | 2026-09-14 ~ 2026-09-20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