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整體時間執行率：11.5%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78.6%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11.58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