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(W36)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週期：2026/08/31–2026/09/06　｜　整體時間執行率：91.0%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3.40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113.3%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10.05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6.73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86.9%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185.75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3.82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83.3%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58.40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28.74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49.2%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08/31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1-1 Day Off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09/01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8X3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35分 / 17.32km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(78%,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09/01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 / 12.40km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99分 / 12.04km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(116%,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09/02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3.45km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(78%,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09/03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2x20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32.10km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🟠 自覺調整 (72%, B+)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09/03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Brick 30~40min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7.00km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4.96km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09/04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3.15km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🟠 自覺調整 (70%, B+)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09/05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Threshold 12x3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154分 / 70.31km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(86%,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09/05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1.5 (15分熱身 / 60分鐘心率150以下 / 15分鐘緩和)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120分 / 19.00km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11.74km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(75%,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09/06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 2.5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 / 66.02km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09/06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 1.5 小時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20.00km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09/06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Lap Swimming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71分 / 3.45km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✨ 動態排酸 (A)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185.75 km、跑步 28.74 km、游泳 10.05 km，整體時間執行率達 91.0%。</w:t>
        <w:br/>
      </w:r>
      <w:r>
        <w:t>• Build 1-1 第一建構期旗開得勝・全週圓滿高質量結算：本週正式邁入專項建構期，全週圓滿完成自行車 185.75 km、跑步 28.74 km、游泳 10.05 km，三項累積總時長達 13.95 小時 (整體時間執行率 91.0%)，總 TSS 突破 800+，專項耐力、閾值衝擊、轉換適應與長距離水感全面大躍升！</w:t>
        <w:br/>
      </w:r>
      <w:r>
        <w:t>• 週日單車 Endurance 2.5 (66.02km) ＋ 長游 3,450m 高質量雙課表：9/6 單車 2h31m (107.1 TSS, 均速 26.28 km/h) 穩健 Zone 2 巡航並落實補給演練；隨後接續 3,450m 長游 (1h12m, 93.9 sTSS, 均速 2:04.5/100m)，單日累積 69.47 km、201.0 TSS，週游量正式跨越 10 公里大關 (10.05 km)！</w:t>
        <w:br/>
      </w:r>
      <w:r>
        <w:t>• 週六單車 Threshold 12x3 (70.31km) ＋ 轉換跑 1.5h (11.74km) 頂尖雙課表：9/5 單車 2h35m (NP 157W, 151.4 TSS, 均心 145 bpm, 均踏頻 86 rpm)，精準執行 3 組 95-105% FTP 閾值衝刺；下車後僅 7 分鐘無縫換鞋接續 90 分鐘長跑，嚴格遵循心率 150 bpm 以下紀律 (均心 145 bpm, 46.1 rTSS)，單日轉換合繳 197.5 TSS、82.05 km，極佳模擬 226 後段轉向抗疲勞能力！</w:t>
        <w:br/>
      </w:r>
      <w:r>
        <w:t>• 週四單車 TEMPO 2x20 (32.10km) ＋ 轉換跑 4.96km：9/3 順利吃下 65 分鐘單車 (均速 29.63 km/h) ＋ 40 分鐘轉換跑 (步頻 172 spm)，轉換神經肌肉適應極佳。</w:t>
        <w:br/>
      </w:r>
      <w:r>
        <w:t>• 週三與週五 雙長池甜甜泳課 (合計 6,600m)：9/2 游泳 70 分鐘 (均速 2:02.5/100m, 均心率 114 bpm, sTSS 97.8, 脫鉤率 -20.90% Spd:HR)；9/4 游泳 63 分鐘游出 3,150m，在低於乳酸閾值極省力狀態下維持流暢水感與核心流線型。</w:t>
        <w:br/>
      </w:r>
      <w:r>
        <w:t>• 週二 12.04km 跑步間歇與 17.32km 單車階梯間歇：9/1 跑步包含 6 組 400m 速度間歇（配速 3:57~4:09/km、均瓦 369-398W）與單車 3 組階梯推進 (171W -&gt; 184W -&gt; 204W 閾值衝刺)。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W36 執行率報告 | 2026-08-31 ~ 2026-09-06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