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Microsoft JhengHei"/>
          <w:b/>
          <w:color w:val="1F4D78"/>
          <w:sz w:val="44"/>
        </w:rPr>
        <w:t>當週訓練執行率回顧報告 (W37)</w:t>
      </w:r>
    </w:p>
    <w:p>
      <w:r>
        <w:rPr>
          <w:rFonts w:ascii="Calibri" w:hAnsi="Calibri" w:eastAsia="Microsoft JhengHei"/>
          <w:b w:val="0"/>
          <w:color w:val="555555"/>
          <w:sz w:val="20"/>
        </w:rPr>
        <w:t>週期：2026/09/07–2026/09/13　｜　整體時間執行率：83.4%</w:t>
      </w:r>
    </w:p>
    <w:p>
      <w:pPr>
        <w:pStyle w:val="Heading1"/>
      </w:pPr>
      <w:r>
        <w:t>一、 當週數據統計</w:t>
      </w:r>
    </w:p>
    <w:tbl>
      <w:tblPr>
        <w:tblStyle w:val="TableGrid"/>
        <w:tblW w:type="dxa" w:w="9000"/>
        <w:jc w:val="left"/>
        <w:tblLayout w:type="fixed"/>
        <w:tblLook w:firstColumn="1" w:firstRow="1" w:lastColumn="0" w:lastRow="0" w:noHBand="0" w:noVBand="1" w:val="04A0"/>
        <w:tblInd w:w="120" w:type="dxa"/>
      </w:tblPr>
      <w:tblGrid>
        <w:gridCol w:w="1400"/>
        <w:gridCol w:w="1100"/>
        <w:gridCol w:w="1100"/>
        <w:gridCol w:w="1100"/>
        <w:gridCol w:w="1100"/>
        <w:gridCol w:w="1100"/>
        <w:gridCol w:w="1100"/>
        <w:gridCol w:w="1000"/>
      </w:tblGrid>
      <w:tr>
        <w:tc>
          <w:tcPr>
            <w:tcW w:type="dxa" w:w="1400"/>
            <w:shd w:fill="1F4D78"/>
            <w:tcMar>
              <w:top w:w="80" w:type="dxa"/>
              <w:start w:w="120" w:type="dxa"/>
              <w:bottom w:w="80" w:type="dxa"/>
              <w:end w:w="120" w:type="dxa"/>
            </w:tcMar>
            <w:vAlign w:val="center"/>
          </w:tcPr>
          <w:p>
            <w:pPr>
              <w:jc w:val="center"/>
            </w:pPr>
            <w:r>
              <w:rPr>
                <w:rFonts w:ascii="Calibri" w:hAnsi="Calibri" w:eastAsia="Microsoft JhengHei"/>
                <w:b/>
                <w:color w:val="FFFFFF"/>
                <w:sz w:val="20"/>
              </w:rPr>
              <w:t>項目</w:t>
            </w:r>
          </w:p>
        </w:tc>
        <w:tc>
          <w:tcPr>
            <w:tcW w:type="dxa" w:w="1100"/>
            <w:shd w:fill="1F4D78"/>
            <w:tcMar>
              <w:top w:w="80" w:type="dxa"/>
              <w:start w:w="120" w:type="dxa"/>
              <w:bottom w:w="80" w:type="dxa"/>
              <w:end w:w="120" w:type="dxa"/>
            </w:tcMar>
            <w:vAlign w:val="center"/>
          </w:tcPr>
          <w:p>
            <w:pPr>
              <w:jc w:val="center"/>
            </w:pPr>
            <w:r>
              <w:rPr>
                <w:rFonts w:ascii="Calibri" w:hAnsi="Calibri" w:eastAsia="Microsoft JhengHei"/>
                <w:b/>
                <w:color w:val="FFFFFF"/>
                <w:sz w:val="20"/>
              </w:rPr>
              <w:t>計劃時間</w:t>
            </w:r>
          </w:p>
        </w:tc>
        <w:tc>
          <w:tcPr>
            <w:tcW w:type="dxa" w:w="1100"/>
            <w:shd w:fill="1F4D78"/>
            <w:tcMar>
              <w:top w:w="80" w:type="dxa"/>
              <w:start w:w="120" w:type="dxa"/>
              <w:bottom w:w="80" w:type="dxa"/>
              <w:end w:w="120" w:type="dxa"/>
            </w:tcMar>
            <w:vAlign w:val="center"/>
          </w:tcPr>
          <w:p>
            <w:pPr>
              <w:jc w:val="center"/>
            </w:pPr>
            <w:r>
              <w:rPr>
                <w:rFonts w:ascii="Calibri" w:hAnsi="Calibri" w:eastAsia="Microsoft JhengHei"/>
                <w:b/>
                <w:color w:val="FFFFFF"/>
                <w:sz w:val="20"/>
              </w:rPr>
              <w:t>實際時間</w:t>
            </w:r>
          </w:p>
        </w:tc>
        <w:tc>
          <w:tcPr>
            <w:tcW w:type="dxa" w:w="1100"/>
            <w:shd w:fill="1F4D78"/>
            <w:tcMar>
              <w:top w:w="80" w:type="dxa"/>
              <w:start w:w="120" w:type="dxa"/>
              <w:bottom w:w="80" w:type="dxa"/>
              <w:end w:w="120" w:type="dxa"/>
            </w:tcMar>
            <w:vAlign w:val="center"/>
          </w:tcPr>
          <w:p>
            <w:pPr>
              <w:jc w:val="center"/>
            </w:pPr>
            <w:r>
              <w:rPr>
                <w:rFonts w:ascii="Calibri" w:hAnsi="Calibri" w:eastAsia="Microsoft JhengHei"/>
                <w:b/>
                <w:color w:val="FFFFFF"/>
                <w:sz w:val="20"/>
              </w:rPr>
              <w:t>時間執行率</w:t>
            </w:r>
          </w:p>
        </w:tc>
        <w:tc>
          <w:tcPr>
            <w:tcW w:type="dxa" w:w="1100"/>
            <w:shd w:fill="1F4D78"/>
            <w:tcMar>
              <w:top w:w="80" w:type="dxa"/>
              <w:start w:w="120" w:type="dxa"/>
              <w:bottom w:w="80" w:type="dxa"/>
              <w:end w:w="120" w:type="dxa"/>
            </w:tcMar>
            <w:vAlign w:val="center"/>
          </w:tcPr>
          <w:p>
            <w:pPr>
              <w:jc w:val="center"/>
            </w:pPr>
            <w:r>
              <w:rPr>
                <w:rFonts w:ascii="Calibri" w:hAnsi="Calibri" w:eastAsia="Microsoft JhengHei"/>
                <w:b/>
                <w:color w:val="FFFFFF"/>
                <w:sz w:val="20"/>
              </w:rPr>
              <w:t>計劃距離</w:t>
            </w:r>
          </w:p>
        </w:tc>
        <w:tc>
          <w:tcPr>
            <w:tcW w:type="dxa" w:w="1100"/>
            <w:shd w:fill="1F4D78"/>
            <w:tcMar>
              <w:top w:w="80" w:type="dxa"/>
              <w:start w:w="120" w:type="dxa"/>
              <w:bottom w:w="80" w:type="dxa"/>
              <w:end w:w="120" w:type="dxa"/>
            </w:tcMar>
            <w:vAlign w:val="center"/>
          </w:tcPr>
          <w:p>
            <w:pPr>
              <w:jc w:val="center"/>
            </w:pPr>
            <w:r>
              <w:rPr>
                <w:rFonts w:ascii="Calibri" w:hAnsi="Calibri" w:eastAsia="Microsoft JhengHei"/>
                <w:b/>
                <w:color w:val="FFFFFF"/>
                <w:sz w:val="20"/>
              </w:rPr>
              <w:t>實際距離</w:t>
            </w:r>
          </w:p>
        </w:tc>
        <w:tc>
          <w:tcPr>
            <w:tcW w:type="dxa" w:w="1100"/>
            <w:shd w:fill="1F4D78"/>
            <w:tcMar>
              <w:top w:w="80" w:type="dxa"/>
              <w:start w:w="120" w:type="dxa"/>
              <w:bottom w:w="80" w:type="dxa"/>
              <w:end w:w="120" w:type="dxa"/>
            </w:tcMar>
            <w:vAlign w:val="center"/>
          </w:tcPr>
          <w:p>
            <w:pPr>
              <w:jc w:val="center"/>
            </w:pPr>
            <w:r>
              <w:rPr>
                <w:rFonts w:ascii="Calibri" w:hAnsi="Calibri" w:eastAsia="Microsoft JhengHei"/>
                <w:b/>
                <w:color w:val="FFFFFF"/>
                <w:sz w:val="20"/>
              </w:rPr>
              <w:t>距離執行率</w:t>
            </w:r>
          </w:p>
        </w:tc>
        <w:tc>
          <w:tcPr>
            <w:tcW w:type="dxa" w:w="1000"/>
            <w:shd w:fill="1F4D78"/>
            <w:tcMar>
              <w:top w:w="80" w:type="dxa"/>
              <w:start w:w="120" w:type="dxa"/>
              <w:bottom w:w="80" w:type="dxa"/>
              <w:end w:w="120" w:type="dxa"/>
            </w:tcMar>
            <w:vAlign w:val="center"/>
          </w:tcPr>
          <w:p>
            <w:pPr>
              <w:jc w:val="center"/>
            </w:pPr>
            <w:r>
              <w:rPr>
                <w:rFonts w:ascii="Calibri" w:hAnsi="Calibri" w:eastAsia="Microsoft JhengHei"/>
                <w:b/>
                <w:color w:val="FFFFFF"/>
                <w:sz w:val="20"/>
              </w:rPr>
              <w:t>總堂數</w:t>
            </w:r>
          </w:p>
        </w:tc>
      </w:tr>
      <w:tr>
        <w:tc>
          <w:tcPr>
            <w:tcW w:type="dxa" w:w="140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游泳 (Swim)</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4.17 hr</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3.07 hr</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73.6%</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3.20 km</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9.60 km</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300.0%</w:t>
            </w:r>
          </w:p>
        </w:tc>
        <w:tc>
          <w:tcPr>
            <w:tcW w:type="dxa" w:w="10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3</w:t>
            </w:r>
          </w:p>
        </w:tc>
      </w:tr>
      <w:tr>
        <w:tc>
          <w:tcPr>
            <w:tcW w:type="dxa" w:w="140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單車 (Bike)</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6.17 hr</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4.95 hr</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80.3%</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100.00 km</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123.23 km</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123.2%</w:t>
            </w:r>
          </w:p>
        </w:tc>
        <w:tc>
          <w:tcPr>
            <w:tcW w:type="dxa" w:w="10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3</w:t>
            </w:r>
          </w:p>
        </w:tc>
      </w:tr>
      <w:tr>
        <w:tc>
          <w:tcPr>
            <w:tcW w:type="dxa" w:w="140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跑步 (Run)</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4.00 hr</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3.93 hr</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98.3%</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37.10 km</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34.48 km</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92.9%</w:t>
            </w:r>
          </w:p>
        </w:tc>
        <w:tc>
          <w:tcPr>
            <w:tcW w:type="dxa" w:w="10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3</w:t>
            </w:r>
          </w:p>
        </w:tc>
      </w:tr>
      <w:tr>
        <w:tc>
          <w:tcPr>
            <w:tcW w:type="dxa" w:w="140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肌力 (Strength)</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0.00 hr</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0.00 hr</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0.0%</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w:t>
            </w:r>
          </w:p>
        </w:tc>
        <w:tc>
          <w:tcPr>
            <w:tcW w:type="dxa" w:w="11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w:t>
            </w:r>
          </w:p>
        </w:tc>
        <w:tc>
          <w:tcPr>
            <w:tcW w:type="dxa" w:w="10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w:t>
            </w:r>
          </w:p>
        </w:tc>
      </w:tr>
    </w:tbl>
    <w:p>
      <w:pPr>
        <w:pStyle w:val="Heading1"/>
      </w:pPr>
      <w:r>
        <w:t>二、 每日課表執行明細</w:t>
      </w:r>
    </w:p>
    <w:tbl>
      <w:tblPr>
        <w:tblStyle w:val="TableGrid"/>
        <w:tblW w:type="dxa" w:w="9660"/>
        <w:jc w:val="left"/>
        <w:tblLayout w:type="fixed"/>
        <w:tblLook w:firstColumn="1" w:firstRow="1" w:lastColumn="0" w:lastRow="0" w:noHBand="0" w:noVBand="1" w:val="04A0"/>
        <w:tblInd w:w="120" w:type="dxa"/>
      </w:tblPr>
      <w:tblGrid>
        <w:gridCol w:w="1050"/>
        <w:gridCol w:w="2750"/>
        <w:gridCol w:w="1050"/>
        <w:gridCol w:w="1500"/>
        <w:gridCol w:w="1500"/>
        <w:gridCol w:w="1810"/>
      </w:tblGrid>
      <w:tr>
        <w:tc>
          <w:tcPr>
            <w:tcW w:type="dxa" w:w="1050"/>
            <w:shd w:fill="595959"/>
            <w:tcMar>
              <w:top w:w="80" w:type="dxa"/>
              <w:start w:w="120" w:type="dxa"/>
              <w:bottom w:w="80" w:type="dxa"/>
              <w:end w:w="120" w:type="dxa"/>
            </w:tcMar>
            <w:vAlign w:val="center"/>
          </w:tcPr>
          <w:p>
            <w:pPr>
              <w:jc w:val="center"/>
            </w:pPr>
            <w:r>
              <w:rPr>
                <w:rFonts w:ascii="Calibri" w:hAnsi="Calibri" w:eastAsia="Microsoft JhengHei"/>
                <w:b/>
                <w:color w:val="FFFFFF"/>
                <w:sz w:val="20"/>
              </w:rPr>
              <w:t>日期</w:t>
            </w:r>
          </w:p>
        </w:tc>
        <w:tc>
          <w:tcPr>
            <w:tcW w:type="dxa" w:w="2750"/>
            <w:shd w:fill="595959"/>
            <w:tcMar>
              <w:top w:w="80" w:type="dxa"/>
              <w:start w:w="120" w:type="dxa"/>
              <w:bottom w:w="80" w:type="dxa"/>
              <w:end w:w="120" w:type="dxa"/>
            </w:tcMar>
            <w:vAlign w:val="center"/>
          </w:tcPr>
          <w:p>
            <w:pPr>
              <w:jc w:val="center"/>
            </w:pPr>
            <w:r>
              <w:rPr>
                <w:rFonts w:ascii="Calibri" w:hAnsi="Calibri" w:eastAsia="Microsoft JhengHei"/>
                <w:b/>
                <w:color w:val="FFFFFF"/>
                <w:sz w:val="20"/>
              </w:rPr>
              <w:t>課表名稱</w:t>
            </w:r>
          </w:p>
        </w:tc>
        <w:tc>
          <w:tcPr>
            <w:tcW w:type="dxa" w:w="1050"/>
            <w:shd w:fill="595959"/>
            <w:tcMar>
              <w:top w:w="80" w:type="dxa"/>
              <w:start w:w="120" w:type="dxa"/>
              <w:bottom w:w="80" w:type="dxa"/>
              <w:end w:w="120" w:type="dxa"/>
            </w:tcMar>
            <w:vAlign w:val="center"/>
          </w:tcPr>
          <w:p>
            <w:pPr>
              <w:jc w:val="center"/>
            </w:pPr>
            <w:r>
              <w:rPr>
                <w:rFonts w:ascii="Calibri" w:hAnsi="Calibri" w:eastAsia="Microsoft JhengHei"/>
                <w:b/>
                <w:color w:val="FFFFFF"/>
                <w:sz w:val="20"/>
              </w:rPr>
              <w:t>類型</w:t>
            </w:r>
          </w:p>
        </w:tc>
        <w:tc>
          <w:tcPr>
            <w:tcW w:type="dxa" w:w="1500"/>
            <w:shd w:fill="595959"/>
            <w:tcMar>
              <w:top w:w="80" w:type="dxa"/>
              <w:start w:w="120" w:type="dxa"/>
              <w:bottom w:w="80" w:type="dxa"/>
              <w:end w:w="120" w:type="dxa"/>
            </w:tcMar>
            <w:vAlign w:val="center"/>
          </w:tcPr>
          <w:p>
            <w:pPr>
              <w:jc w:val="center"/>
            </w:pPr>
            <w:r>
              <w:rPr>
                <w:rFonts w:ascii="Calibri" w:hAnsi="Calibri" w:eastAsia="Microsoft JhengHei"/>
                <w:b/>
                <w:color w:val="FFFFFF"/>
                <w:sz w:val="20"/>
              </w:rPr>
              <w:t>計畫(時間/距離)</w:t>
            </w:r>
          </w:p>
        </w:tc>
        <w:tc>
          <w:tcPr>
            <w:tcW w:type="dxa" w:w="1500"/>
            <w:shd w:fill="595959"/>
            <w:tcMar>
              <w:top w:w="80" w:type="dxa"/>
              <w:start w:w="120" w:type="dxa"/>
              <w:bottom w:w="80" w:type="dxa"/>
              <w:end w:w="120" w:type="dxa"/>
            </w:tcMar>
            <w:vAlign w:val="center"/>
          </w:tcPr>
          <w:p>
            <w:pPr>
              <w:jc w:val="center"/>
            </w:pPr>
            <w:r>
              <w:rPr>
                <w:rFonts w:ascii="Calibri" w:hAnsi="Calibri" w:eastAsia="Microsoft JhengHei"/>
                <w:b/>
                <w:color w:val="FFFFFF"/>
                <w:sz w:val="20"/>
              </w:rPr>
              <w:t>實際(時間/距離)</w:t>
            </w:r>
          </w:p>
        </w:tc>
        <w:tc>
          <w:tcPr>
            <w:tcW w:type="dxa" w:w="1810"/>
            <w:shd w:fill="595959"/>
            <w:tcMar>
              <w:top w:w="80" w:type="dxa"/>
              <w:start w:w="120" w:type="dxa"/>
              <w:bottom w:w="80" w:type="dxa"/>
              <w:end w:w="120" w:type="dxa"/>
            </w:tcMar>
            <w:vAlign w:val="center"/>
          </w:tcPr>
          <w:p>
            <w:pPr>
              <w:jc w:val="center"/>
            </w:pPr>
            <w:r>
              <w:rPr>
                <w:rFonts w:ascii="Calibri" w:hAnsi="Calibri" w:eastAsia="Microsoft JhengHei"/>
                <w:b/>
                <w:color w:val="FFFFFF"/>
                <w:sz w:val="20"/>
              </w:rPr>
              <w:t>狀態</w:t>
            </w:r>
          </w:p>
        </w:tc>
      </w:tr>
      <w:tr>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09/07</w:t>
              <w:br/>
              <w:t>週一</w:t>
            </w:r>
          </w:p>
        </w:tc>
        <w:tc>
          <w:tcPr>
            <w:tcW w:type="dxa" w:w="275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Day Off: Build 1-2 Day Off</w:t>
            </w:r>
          </w:p>
        </w:tc>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Day Off</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0分</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0分</w:t>
            </w:r>
          </w:p>
        </w:tc>
        <w:tc>
          <w:tcPr>
            <w:tcW w:type="dxa" w:w="181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 完全休息日</w:t>
            </w:r>
          </w:p>
        </w:tc>
      </w:tr>
      <w:tr>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09/08</w:t>
              <w:br/>
              <w:t>週二</w:t>
            </w:r>
          </w:p>
        </w:tc>
        <w:tc>
          <w:tcPr>
            <w:tcW w:type="dxa" w:w="275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Bike: TEMPO 6X3</w:t>
            </w:r>
          </w:p>
        </w:tc>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Bike</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40分</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40分 / 20.79km</w:t>
            </w:r>
          </w:p>
        </w:tc>
        <w:tc>
          <w:tcPr>
            <w:tcW w:type="dxa" w:w="181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 精準達標 (100%, A+)</w:t>
            </w:r>
          </w:p>
        </w:tc>
      </w:tr>
      <w:tr>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09/08</w:t>
              <w:br/>
              <w:t>週二</w:t>
            </w:r>
          </w:p>
        </w:tc>
        <w:tc>
          <w:tcPr>
            <w:tcW w:type="dxa" w:w="275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Run: Running</w:t>
            </w:r>
          </w:p>
        </w:tc>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Run</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90分 / 11.60km</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87分 / 12.48km</w:t>
            </w:r>
          </w:p>
        </w:tc>
        <w:tc>
          <w:tcPr>
            <w:tcW w:type="dxa" w:w="181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 精準達標 (97%, A+)</w:t>
            </w:r>
          </w:p>
        </w:tc>
      </w:tr>
      <w:tr>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09/09</w:t>
              <w:br/>
              <w:t>週三</w:t>
            </w:r>
          </w:p>
        </w:tc>
        <w:tc>
          <w:tcPr>
            <w:tcW w:type="dxa" w:w="275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Swim: 甜 課表</w:t>
            </w:r>
          </w:p>
        </w:tc>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Swim</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90分</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59分 / 3.15km</w:t>
            </w:r>
          </w:p>
        </w:tc>
        <w:tc>
          <w:tcPr>
            <w:tcW w:type="dxa" w:w="181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 自覺調整 (66%, B+)</w:t>
            </w:r>
          </w:p>
        </w:tc>
      </w:tr>
      <w:tr>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09/10</w:t>
              <w:br/>
              <w:t>週四</w:t>
            </w:r>
          </w:p>
        </w:tc>
        <w:tc>
          <w:tcPr>
            <w:tcW w:type="dxa" w:w="275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Bike: TEMPO 3x18'</w:t>
            </w:r>
          </w:p>
        </w:tc>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Bike</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90分</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90分 / 42.84km</w:t>
            </w:r>
          </w:p>
        </w:tc>
        <w:tc>
          <w:tcPr>
            <w:tcW w:type="dxa" w:w="181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 精準達標 (100%, A+)</w:t>
            </w:r>
          </w:p>
        </w:tc>
      </w:tr>
      <w:tr>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09/11</w:t>
              <w:br/>
              <w:t>週五</w:t>
            </w:r>
          </w:p>
        </w:tc>
        <w:tc>
          <w:tcPr>
            <w:tcW w:type="dxa" w:w="275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Swim: 甜 課表</w:t>
            </w:r>
          </w:p>
        </w:tc>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Swim</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90分</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61分 / 3.25km</w:t>
            </w:r>
          </w:p>
        </w:tc>
        <w:tc>
          <w:tcPr>
            <w:tcW w:type="dxa" w:w="181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 自覺調整 (68%, B+)</w:t>
            </w:r>
          </w:p>
        </w:tc>
      </w:tr>
      <w:tr>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09/12</w:t>
              <w:br/>
              <w:t>週六</w:t>
            </w:r>
          </w:p>
        </w:tc>
        <w:tc>
          <w:tcPr>
            <w:tcW w:type="dxa" w:w="275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Bike: 北海岸（萊爾富）</w:t>
            </w:r>
          </w:p>
        </w:tc>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Bike</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240分 / 100.00km</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167分 / 59.60km</w:t>
            </w:r>
          </w:p>
        </w:tc>
        <w:tc>
          <w:tcPr>
            <w:tcW w:type="dxa" w:w="181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 自覺調整 (70%, B+)</w:t>
            </w:r>
          </w:p>
        </w:tc>
      </w:tr>
      <w:tr>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09/12</w:t>
              <w:br/>
              <w:t>週六</w:t>
            </w:r>
          </w:p>
        </w:tc>
        <w:tc>
          <w:tcPr>
            <w:tcW w:type="dxa" w:w="275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Run: Brick 60min</w:t>
            </w:r>
          </w:p>
        </w:tc>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Run</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60分 / 10.50km</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60分 / 9.73km</w:t>
            </w:r>
          </w:p>
        </w:tc>
        <w:tc>
          <w:tcPr>
            <w:tcW w:type="dxa" w:w="181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 精準達標 (100%, A+)</w:t>
            </w:r>
          </w:p>
        </w:tc>
      </w:tr>
      <w:tr>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09/13</w:t>
              <w:br/>
              <w:t>週日</w:t>
            </w:r>
          </w:p>
        </w:tc>
        <w:tc>
          <w:tcPr>
            <w:tcW w:type="dxa" w:w="275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Run: EASY</w:t>
            </w:r>
          </w:p>
        </w:tc>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Run</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90分 / 15.00km</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89分 / 12.27km</w:t>
            </w:r>
          </w:p>
        </w:tc>
        <w:tc>
          <w:tcPr>
            <w:tcW w:type="dxa" w:w="181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 精準達標 (99%, A+)</w:t>
            </w:r>
          </w:p>
        </w:tc>
      </w:tr>
      <w:tr>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09/13</w:t>
              <w:br/>
              <w:t>週日</w:t>
            </w:r>
          </w:p>
        </w:tc>
        <w:tc>
          <w:tcPr>
            <w:tcW w:type="dxa" w:w="2750"/>
            <w:tcMar>
              <w:top w:w="80" w:type="dxa"/>
              <w:start w:w="120" w:type="dxa"/>
              <w:bottom w:w="80" w:type="dxa"/>
              <w:end w:w="120" w:type="dxa"/>
            </w:tcMar>
            <w:vAlign w:val="center"/>
          </w:tcPr>
          <w:p>
            <w:pPr>
              <w:spacing w:after="0"/>
              <w:jc w:val="left"/>
            </w:pPr>
            <w:r>
              <w:rPr>
                <w:rFonts w:ascii="Calibri" w:hAnsi="Calibri" w:eastAsia="Microsoft JhengHei"/>
                <w:b w:val="0"/>
                <w:color w:val="000000"/>
                <w:sz w:val="19"/>
              </w:rPr>
              <w:t>Swim: 3200 主課表：比賽配速</w:t>
            </w:r>
          </w:p>
        </w:tc>
        <w:tc>
          <w:tcPr>
            <w:tcW w:type="dxa" w:w="105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Swim</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70分 / 3.20km</w:t>
            </w:r>
          </w:p>
        </w:tc>
        <w:tc>
          <w:tcPr>
            <w:tcW w:type="dxa" w:w="150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64分 / 3.20km</w:t>
            </w:r>
          </w:p>
        </w:tc>
        <w:tc>
          <w:tcPr>
            <w:tcW w:type="dxa" w:w="1810"/>
            <w:tcMar>
              <w:top w:w="80" w:type="dxa"/>
              <w:start w:w="120" w:type="dxa"/>
              <w:bottom w:w="80" w:type="dxa"/>
              <w:end w:w="120" w:type="dxa"/>
            </w:tcMar>
            <w:vAlign w:val="center"/>
          </w:tcPr>
          <w:p>
            <w:pPr>
              <w:spacing w:after="0"/>
              <w:jc w:val="center"/>
            </w:pPr>
            <w:r>
              <w:rPr>
                <w:rFonts w:ascii="Calibri" w:hAnsi="Calibri" w:eastAsia="Microsoft JhengHei"/>
                <w:b w:val="0"/>
                <w:color w:val="000000"/>
                <w:sz w:val="19"/>
              </w:rPr>
              <w:t>🟢 良好達標 (91%, A-)</w:t>
            </w:r>
          </w:p>
        </w:tc>
      </w:tr>
    </w:tbl>
    <w:p>
      <w:pPr>
        <w:pStyle w:val="Heading1"/>
      </w:pPr>
      <w:r>
        <w:t>三、 教練視角綜合解析與後續建議</w:t>
      </w:r>
    </w:p>
    <w:p>
      <w:r>
        <w:rPr>
          <w:rFonts w:ascii="Calibri" w:hAnsi="Calibri" w:eastAsia="Microsoft JhengHei"/>
          <w:b/>
          <w:color w:val="2E74B5"/>
          <w:sz w:val="24"/>
        </w:rPr>
        <w:t>1. 執行亮點與成效分析 (Execution Highlights &amp; Milestone Analytics)</w:t>
      </w:r>
    </w:p>
    <w:p>
      <w:r>
        <w:t>• 當週累積自行車 123.23 km、跑步 34.48 km、游泳 9.60 km，整體時間執行率達 83.4%。</w:t>
        <w:br/>
      </w:r>
      <w:r>
        <w:t>• Build 1-2 第一建構期第二週圓滿結算：週一完全休息超補償後，週二晨跑超額達標 (12.5km)、週三長池甜甜長游高效巡航 (3.15km)、週四單車 TEMPO 3x18' 完美吃下 (42.8km)、週五長池甜甜長游高水準達標 (3.25km)、週六北海岸長騎 59.6km ＋ 轉換跑 9.73km (60分鐘) 關鍵雙課表，今日週日順利完成清晨 EASY 有氧跑 12.27km (90分鐘) 與下午 50m 長池 3,200m 比賽配速長游！全週圓滿結算自行車 123.23 km (4.95 小時, 243.5 TSS)、跑步 34.48 km (3.93 小時, 180.7 rTSS)、游泳 9.60 km (3.07 小時, 304.6 sTSS)，三項總時長達 11.9 小時 (~12.0 小時) (整體時間執行率達 83.4%)，三項總負荷強勢衝破 728.8 TSS (突破 725+ TSS)！</w:t>
        <w:br/>
      </w:r>
      <w:r>
        <w:t>• 週日清晨 EASY 跑 12.27km (50.3 rTSS) ＋ 下午 50m 長池 3,200m 比賽配速長游 (92.9 sTSS) 雙課表：9/13 清晨跑步 1 小時 29 分 56 秒完成 12.27 km (均速 7:19/km, 8.19 km/h, 最快 4:48/km, 均心 134 bpm, 最高 161 bpm, 恢復區佔 94.7%, 均瓦 209W 3.07W/kg, 最大 396W, 做功 1,127.7 kJ, 均步頻 162 spm, IF 0.548, 50.31 rTSS, 消耗 815 kcal, 體感自覺滿分 5/5 ｜ RPE 3/10 輕鬆有氧)，昨日長騎與轉換跑後雙腿輕盈，心率零漂移達成超高水準動態排酸與有氧耐力堆疊；下午游泳 1 小時 04 分 20 秒完成 3,200 m (均速 2:00.8/100m, 標準化速度 2:00.6/100m, 均心 136 bpm, 最高 166 bpm, 均划頻 25 spm, 均划幅 1.99m/stroke, 脫鉤率 Spd:HR -4.97% 負脫鉤, 92.92 sTSS, IF 0.930, 消耗 621 kcal, 體感 3/3)，比賽配速游程穩定流暢，核心流線型與水下抓抱推水發揮出色，長池水壓與浮力深度排酸。單日合計 2 小時 34 分、15.47 km、143.2 TSS、燃燒 1,436 kcal！</w:t>
        <w:br/>
      </w:r>
      <w:r>
        <w:t>• 週六單車北海岸 59.60km (122.3 TSS) ＋ 轉換跑 60分 9.73km (47.4 rTSS) 頂尖雙課表：9/12 單日累積 3 小時 47 分、69.33 km、爬升 +733m、總負荷 169.7 TSS、燃燒 1,888 kcal！單車 2h47m (59.60km, 21.39 km/h, 均心 131 bpm, 最高 180 bpm, 爬升 +729m, 脫鉤率 Spd:HR -7.39% 負脫鉤)，面對山海起伏路段恪守有氧耐力紀律，Zone 1-2 佔比高達 82.0%；下車後僅休息 25 分鐘立即換鞋出發，精準完成 60 分鐘轉換跑 (9.73km, 6:10/km, 均心率僅 117 bpm, 均瓦 258W, 均步頻 173 spm, 脫鉤率 Pw:HR -43.90% / Spd:HR -42.34%)，時間達成率 100.0% 完美達標，下車雙腿毫無僵硬發木，體感給出滿分 5/5 ｜ RPE 5/10，極佳展現 226 下車轉換抗疲勞水準！</w:t>
        <w:br/>
      </w:r>
      <w:r>
        <w:t>• 週五 50m長池甜甜泳課 3,250m 高效巡航 (106.8 sTSS)：9/11 游泳 1 小時 01 分 24 秒完成 3,250m (均速 1:53.6/100m, 均時速 3.17 km/h, 標準化速度 1:53.3/100m, 均心率 131 bpm, 最高 183 bpm, 恢復與耐力區間佔比 63%, IF 1.014, 均划頻 28 spm, 最高 58 spm, 消耗 660 kcal, 體感自覺 3/5 ｜ RPE 3/10 輕鬆省力)，有氧速度脫鉤率 Spd:HR 達 -3.13% 優異負脫鉤，展現心肺抗疲勞超群與水感零漂移！均速 1:53.6/100m 再度精準切中 Sub-11 完賽目標配速線 (1h12m / 3.8km / 1:53/100m)，且均心率穩健維持在 131 bpm，在經歷前三日累積近 270 TSS 深度疲勞下，核心流線型與水下抱推水技術依然極佳，同時有效利用長池水壓與浮力促進昨日單車下肢肌肉之深層動態排酸！</w:t>
        <w:br/>
      </w:r>
      <w:r>
        <w:t>• 週四室內單車 TEMPO 3x18' 42.84km (83.4 TSS)：9/10 單車 1 小時 30 分 19 秒完成 42.84 km (均速 28.45 km/h, NP 153W, 均瓦 139W 2.06 W/kg, 最大 176W, VI 1.10, 均踏頻 84 rpm, 均心率 137 bpm, 最高 157 bpm, 爬升 +356m, 做功 755 kJ, 消耗 721 kcal, 體感自覺滿分 5/5 ｜ RPE 4/10)，有氧脫鉤率 Pw:HR 僅 4.81% 零漂移！課表精準執行 3 組 18 分鐘節奏間歇 (每組 3x6min @ 169W 搭配 1min 動態微調)，Zone 3 節奏區扎實累積 56.9 分鐘，均心率妥善維持在 Zone 1-2 (涵蓋率 97.7%)，完美奠定 Sub-11 自行車巡航 (140-145W) 之超額抗疲勞底層！</w:t>
        <w:br/>
      </w:r>
      <w:r>
        <w:t>• 週三 50m長池甜甜泳課 3,150m 高效巡航 (104.9 sTSS)：9/9 游泳 59 分 07 秒完成 3,150m (均速 1:53.0/100m, 均時速 3.19 km/h, 均心率 111 bpm, 最高 184 bpm, IF 1.02, 體感自覺滿分 5/5 ｜ RPE 3/10, 消耗 632 kcal)，有氧速度脫鉤率 Spd:HR 僅 0.34% 展現極高心肺效率與水感零漂移！均速 1:53/100m 完全契合 Sub-11 完賽目標配速線 (1h12m / 1:53/100m)，且均心率僅 111 bpm (恢復與耐力區間佔比高達 86%)，以極低心肺代價發揮出色的下肢動態排酸，同時高效累積超過 100 點負荷！</w:t>
        <w:br/>
      </w:r>
      <w:r>
        <w:t>• 週二 12.48km 跑步專項高質量完成 (83.0 rTSS)：9/8 跑步 1 小時 27 分 23 秒 (12.48km, 7:00/km, NGP 5:36/km, 均心 148 bpm, 均瓦 217W 3.18W/kg, 最大 457W, 脫鉤率 Pw:HR -2.69% / Spd:HR 0.07%)，距離達成率 107.6%、TSS 達成率 100.8%，間歇衝刺段步頻 182-187 spm、觸地時間 200-215ms、垂直比 6-7%，打破 5 項個人紀錄 (5 PRs)，負脫鉤展現極佳心肺抗疲勞力與著地經濟性！</w:t>
        <w:br/>
      </w:r>
    </w:p>
    <w:p>
      <w:r>
        <w:rPr>
          <w:rFonts w:ascii="Calibri" w:hAnsi="Calibri" w:eastAsia="Microsoft JhengHei"/>
          <w:b/>
          <w:color w:val="2E74B5"/>
          <w:sz w:val="24"/>
        </w:rPr>
        <w:t>2. 需注意的細節與配速/功率紀律 (Key Watchpoints &amp; Power Pacing)</w:t>
      </w:r>
    </w:p>
    <w:p>
      <w:r>
        <w:t>• 自行車功率控制與有氧冷卻：對標 Sub-11 藍圖 (5h30m / 140W-145W)，長距離 LSD 前段克制輸出在 140W-150W，TEMPO 課表守在 155W-165W，爬坡嚴守 174W (85% FTP) 上限；下車前最後 10–15 公里主動降瓦至 123W–133W 並維持 85–90 rpm 高踏頻冷卻。</w:t>
        <w:br/>
      </w:r>
      <w:r>
        <w:t>• 下車轉換跑步頻與著地剛性：下車後跑步前 5 公里維持 175–180 spm 小步幅高步頻，觸地時間控制在 &lt;270ms，垂直比 &lt;9%，心率巡航在 145-155 bpm，保護膝蓋與全馬關節剛性。</w:t>
        <w:br/>
      </w:r>
      <w:r>
        <w:t>• 游泳長距離巡航手感定型：保持放鬆 Zone 1-2 低心率划水與核心流線型，出水前練習抬頭定位 (Sighting) 節奏，目標直指 Sub-11 1:12:00 (1:53/100m) 配速線。</w:t>
        <w:br/>
      </w:r>
    </w:p>
    <w:p>
      <w:r>
        <w:rPr>
          <w:rFonts w:ascii="Calibri" w:hAnsi="Calibri" w:eastAsia="Microsoft JhengHei"/>
          <w:b/>
          <w:color w:val="2E74B5"/>
          <w:sz w:val="24"/>
        </w:rPr>
        <w:t>3. 恢復與能量補給指南 (Recovery &amp; Fueling Protocol)</w:t>
      </w:r>
    </w:p>
    <w:p>
      <w:r>
        <w:t>• 補水與電解質補充：高溫與大消耗訓練後，持續每 1–2 小時補充含電解質飲品，直至尿液顏色恢復清澈淡黃。</w:t>
        <w:br/>
      </w:r>
      <w:r>
        <w:t>• 醣類與蛋白質黃金窗口：課表後 30 分鐘內充足補充碳水化合物與每公斤體重 1.5–2.0g 優質蛋白質，促進肌糖原快速回補與肌纖維修復。</w:t>
        <w:br/>
      </w:r>
      <w:r>
        <w:t>• 睡眠管理與超補償：維持每晚 8 小時優質深層睡眠，促進生長激素分泌以利神經系統吸收本週超補償效益。</w:t>
        <w:br/>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W37 執行率報告 | 2026-09-07 ~ 2026-09-13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TrainingPeaks 當週訓練執行率回顧報告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