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35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週期：2026/08/24－2026/08/30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上週（08/17–08/23）整體課表時間完成度達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64.4%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2.67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2.05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76.9%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6.25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4.67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1.97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42.1%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41.40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1.83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1.42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77.3%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14.60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13.11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89.8%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2 次（累計 6.25 km / 2.05 小時），達計劃時間之 76.9%。這有助於奠定強大的水域自信，在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3 次（累計 41.40 km / 1.97 小時），達計劃時間之 42.1%。有氧耐力與瓦數輸出保持穩定。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2 次（累計 13.11 km / 1.42 小時），達計劃時間之 77.3%。轉換跑與長跑步頻節奏保持良好，請繼續維持肌肉衝擊適應。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30.39 km、週騎量 180.94 km、週游量 8.89 km (整體執行率 91.8%)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10:58 | 中性 11:07 | 保守 11:21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11:09 (2.12x) | 中性 11:34 (2.20x) | 保守 12:00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04:03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全場未抽筋)：10:37 – 10:52 (預估中位數 10:45)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體力適當分配)：10:44 – 11:08 (預估中位數 10:56)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(後半程馬拉松掉速/抽筋)：10:52 – 11:27 (預估中位數 11:07)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08/24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08/25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08/26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08/27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56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08/28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08/29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350＋Run: 轉換40分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08/30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有氧打底＋Swim: 3000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(第三階段：鐵人專項耐力與神經傳導期 (Weeks 35–38))</w:t>
      </w:r>
    </w:p>
    <w:p>
      <w:pPr>
        <w:pStyle w:val="Heading2"/>
      </w:pPr>
      <w:r>
        <w:t>主課 A (週一與週四執行 - 第三階段：鐵人專項耐力與神經傳導期)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跳躍登階 / 爆發分腿蹲 (Plyometric Split Jump)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5 下／邊 (提升神經快縮與跑姿彈性)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高次數羅馬尼亞硬舉 (RDL)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10–12 下 (強化肌耐力與跑後段抗衰退能力)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單腳硬舉加提膝 (Single Leg RDL to Knee Drive)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(整合跑步全週期連結)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側棒式轉體抬腿 (Dynamic Side Plank Threading)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(極限抗側彎與動態穩定)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死蟲式加抗力球 (Deadbug w/ Stability Ball)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 (強化核心協調性)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提踵加跳躍 (Calf Pogo Jumps)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15 秒 (提升腳踝跟腱彈性反應)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40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2026-08-24 至 2026-08-30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