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JhengHei"/>
          <w:b/>
          <w:color w:val="1F4D78"/>
          <w:sz w:val="44"/>
        </w:rPr>
        <w:t>週訓練整合、完賽分析與肌力課表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週期：2026/07/06－2026/07/12　｜　來源：TrainingPeaks &amp; 運動.xlsx</w:t>
      </w:r>
    </w:p>
    <w:p>
      <w:pPr>
        <w:pStyle w:val="Heading1"/>
      </w:pPr>
      <w:r>
        <w:t>一、 上週訓練執行率回顧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上週（06/29–07/05）整體課表時間完成度達 </w:t>
      </w:r>
      <w:r>
        <w:rPr>
          <w:rFonts w:ascii="Calibri" w:hAnsi="Calibri" w:eastAsia="Microsoft JhengHei"/>
          <w:b/>
          <w:color w:val="C00000"/>
          <w:sz w:val="22"/>
        </w:rPr>
        <w:t>91.5%</w:t>
      </w:r>
      <w:r>
        <w:rPr>
          <w:rFonts w:ascii="Calibri" w:hAnsi="Calibri" w:eastAsia="Microsoft JhengHei"/>
          <w:b w:val="0"/>
          <w:color w:val="000000"/>
          <w:sz w:val="22"/>
        </w:rPr>
        <w:t>，有氧基礎扎實。詳細完成率數據如下表：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00"/>
        <w:gridCol w:w="1300"/>
        <w:gridCol w:w="1300"/>
        <w:gridCol w:w="1300"/>
        <w:gridCol w:w="1300"/>
        <w:gridCol w:w="1360"/>
      </w:tblGrid>
      <w:tr>
        <w:tc>
          <w:tcPr>
            <w:tcW w:type="dxa" w:w="15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運動項目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3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8.63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86.3%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9.60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25.55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266.1%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16.25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14.05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86.5%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270.00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335.73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124.3%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4.50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4.65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103.3%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45.00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42.12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93.6%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0.80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1F4D78"/>
          <w:sz w:val="22"/>
        </w:rPr>
        <w:t>💡 執行率分析與建議：</w:t>
        <w:br/>
      </w:r>
      <w:r>
        <w:rPr>
          <w:rFonts w:ascii="Calibri" w:hAnsi="Calibri" w:eastAsia="Microsoft JhengHei"/>
          <w:b/>
          <w:color w:val="9C3D10"/>
          <w:sz w:val="20"/>
        </w:rPr>
        <w:t>⚠️ 提醒：由於今日剛啟用「每日行事曆快取系統」，上週一部分（週一/週二）的歷史數據在 TrainingPeaks Webcal 串流中已失效，本次執行率可能偏低。從下週一開始，系統將透過每日快取產出完整無缺的計畫執行率對比報告！</w:t>
        <w:br/>
      </w:r>
      <w:r>
        <w:rPr>
          <w:rFonts w:ascii="Calibri" w:hAnsi="Calibri" w:eastAsia="Microsoft JhengHei"/>
          <w:b w:val="0"/>
          <w:color w:val="000000"/>
          <w:sz w:val="22"/>
        </w:rPr>
        <w:t>1. 游泳量達 25.55 km，這有助於奠定強大的水域自信，在 226 比賽中能以低能耗起水。</w:t>
        <w:br/>
      </w:r>
      <w:r>
        <w:rPr>
          <w:rFonts w:ascii="Calibri" w:hAnsi="Calibri" w:eastAsia="Microsoft JhengHei"/>
          <w:b w:val="0"/>
          <w:color w:val="000000"/>
          <w:sz w:val="22"/>
        </w:rPr>
        <w:t>2. 單車順利完成長騎，累計 335.73 km，有氧耐力良好。</w:t>
        <w:br/>
      </w:r>
      <w:r>
        <w:rPr>
          <w:rFonts w:ascii="Calibri" w:hAnsi="Calibri" w:eastAsia="Microsoft JhengHei"/>
          <w:b w:val="0"/>
          <w:color w:val="000000"/>
          <w:sz w:val="22"/>
        </w:rPr>
        <w:t>3. 缺口指出：上週跑步僅有 1 次（14 km）。為避免長時間自行車轉換後大腿肌肉疲勞抽筋，必須在本週提高跑步頻率，讓肌肉適應地面衝擊，本週課表已針對此缺口補強。</w:t>
      </w:r>
    </w:p>
    <w:p>
      <w:pPr>
        <w:pStyle w:val="Heading1"/>
      </w:pPr>
      <w:r>
        <w:t>二、 226 完賽成績分析與預估</w:t>
      </w:r>
    </w:p>
    <w:p>
      <w:r>
        <w:t>您的歷史 226 完賽數據總覽：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100"/>
        <w:gridCol w:w="900"/>
        <w:gridCol w:w="1200"/>
        <w:gridCol w:w="900"/>
        <w:gridCol w:w="1100"/>
        <w:gridCol w:w="1560"/>
      </w:tblGrid>
      <w:tr>
        <w:tc>
          <w:tcPr>
            <w:tcW w:type="dxa" w:w="2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賽事名稱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游泳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T1</w:t>
            </w:r>
          </w:p>
        </w:tc>
        <w:tc>
          <w:tcPr>
            <w:tcW w:type="dxa" w:w="12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自行車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T2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跑步</w:t>
            </w:r>
          </w:p>
        </w:tc>
        <w:tc>
          <w:tcPr>
            <w:tcW w:type="dxa" w:w="156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總時間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01:23:07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00:12:28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06:25:12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00:04:58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05:04:28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13:10:16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 1332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01:22:41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06:14:26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04:25:09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12:16:43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01:21:52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05:25:04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13:17:39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01:20:06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06:20:55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00:06:19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14:15:13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Malaysia Langkawi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01:20:32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06:38:30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06:14:30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14:25:57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普悠瑪鐵人三項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01:19:36.511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00:04:47.235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05:37:55.058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00:06:04.569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04:30:01.335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11:38:24.708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Taiwan PengHu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00:35:49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00:08:37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06:24:29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00:03:14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04:40:36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11:52:42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World Championship Nice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01:11:50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0:07:55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07:12:55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0:08:27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04:52:12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13:33:18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1F4D78"/>
          <w:sz w:val="22"/>
        </w:rPr>
        <w:t>🔮 IM226 完賽成績預估影響：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您的個人最佳 (PB) 爲 2024 年普悠瑪的 11:38:24。在地形極具挑戰的 Nice 世錦賽中完賽時間爲 13:33:18。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結合上週高質量游泳與單車表現，您的心肺有氧基礎完全具備 sub-12 小時的實力。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若能透過本週的 4 次跑步訓練（特別是週日 90 分鐘 Zone 2 及週六 70 分鐘漸快跑）重新奠定跑步的肌肉刚性，預估在標準賽道（如 Challenge Taiwan 226）上的目標完賽時間區間為：</w:t>
        <w:br/>
      </w:r>
      <w:r>
        <w:rPr>
          <w:rFonts w:ascii="Calibri" w:hAnsi="Calibri" w:eastAsia="Microsoft JhengHei"/>
          <w:b/>
          <w:color w:val="385623"/>
          <w:sz w:val="22"/>
        </w:rPr>
        <w:t xml:space="preserve">  - 樂觀目標（跑步未抽筋）：11:30 – 11:45</w:t>
        <w:br/>
      </w:r>
      <w:r>
        <w:rPr>
          <w:rFonts w:ascii="Calibri" w:hAnsi="Calibri" w:eastAsia="Microsoft JhengHei"/>
          <w:b/>
          <w:color w:val="C55A11"/>
          <w:sz w:val="22"/>
        </w:rPr>
        <w:t xml:space="preserve">  - 中性目標（平穩完賽）：12:00 – 12:30</w:t>
        <w:br/>
      </w:r>
      <w:r>
        <w:rPr>
          <w:rFonts w:ascii="Calibri" w:hAnsi="Calibri" w:eastAsia="Microsoft JhengHei"/>
          <w:b/>
          <w:color w:val="C00000"/>
          <w:sz w:val="22"/>
        </w:rPr>
        <w:t xml:space="preserve">  - 保守目標（後半程抽筋掉速）：12:50 – 13:15</w:t>
        <w:br/>
      </w:r>
    </w:p>
    <w:p>
      <w:pPr>
        <w:pStyle w:val="Heading1"/>
      </w:pPr>
      <w:r>
        <w:t>三、 本週訓練安排與肌力整合</w:t>
      </w:r>
    </w:p>
    <w:p>
      <w:r>
        <w:t>本週 TrainingPeaks 行事曆課表與肌力訓練整合表：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600"/>
        <w:gridCol w:w="4410"/>
      </w:tblGrid>
      <w:t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TrainingPeaks 課表</w:t>
            </w:r>
          </w:p>
        </w:tc>
        <w:tc>
          <w:tcPr>
            <w:tcW w:type="dxa" w:w="4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肌力課表安排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07/06</w:t>
              <w:br/>
              <w:t>週一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休息： 基礎期1-1 Day Off＋休息： 基礎期1-1 Day Off＋休息： 基礎期1-1 Day Off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主課 B，30–40 分鐘；保留 2–3 下餘裕，不做到力竭。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07/07</w:t>
              <w:br/>
              <w:t>週二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Run＋Run＋Run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07/08</w:t>
              <w:br/>
              <w:t>週三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甜甜課表＋Swim: 甜甜課表＋Swim: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07/09</w:t>
              <w:br/>
              <w:t>週四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休息： Day Off (交通日)＋休息： Day Off (交通日)＋休息： Day Off (交通日)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07/10</w:t>
              <w:br/>
              <w:t>週五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45 分鐘 ZONE 2＋Run: 45 分鐘 ZONE 2＋Run: 45 分鐘 ZONE 2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07/11</w:t>
              <w:br/>
              <w:t>週六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70 分鐘 漸快＋Run: 70 分鐘 漸快＋Run: 70 分鐘 漸快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07/12</w:t>
              <w:br/>
              <w:t>週日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90 分鐘 ZONE2＋Run: 90 分鐘 ZONE2＋Run: 90 分鐘 ZONE2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</w:tbl>
    <w:p>
      <w:pPr>
        <w:pStyle w:val="Heading1"/>
      </w:pPr>
      <w:r>
        <w:t>四、 肌力訓練動作內容</w:t>
      </w:r>
    </w:p>
    <w:p>
      <w:pPr>
        <w:pStyle w:val="Heading2"/>
      </w:pPr>
      <w:r>
        <w:t>主課 B (週一與週四執行)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臀推或橋式 (Hip Thrust)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8–10 下 (活化並強化臀大肌)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登階 (Step-up)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6–8 下／邊 (模仿跑步推蹬與單腳穩定)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帕羅夫壓 (Pallof press)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10–12 下／邊 (核心抗旋轉能力)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怪獸走 (Monster Walk)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10–15 步／邊 (激活臀中肌，防止膝外翻)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離心提踵 (Eccentric Calf)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8–12 下 (預防跟腱炎，加強推蹬剛性)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髖屈肌伸展 (Hip Flexor Stretch)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30 秒／邊 (舒緩久坐與騎車的緊繃)</w:t>
            </w:r>
          </w:p>
        </w:tc>
      </w:tr>
    </w:tbl>
    <w:p>
      <w:pPr>
        <w:pStyle w:val="Heading2"/>
      </w:pPr>
      <w:r>
        <w:t>短課模板 (週三執行)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死蟲式 (Dead bug)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8–10 下／邊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側棒式 (Side Plank)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30 秒／邊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鳥狗式 (Bird dog)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 下／邊 (強化對側核心控制)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彈力帶側走 (Band Walk)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10–15 步／邊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單腳提踵 (Single Calf Raise)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12–15 下／邊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9C3D10"/>
          <w:sz w:val="20"/>
        </w:rPr>
        <w:t>⚠️ 肌力調整規則：若出現關節疼痛、嚴重疲勞或睡眠不足，應果斷將主課減至 2 組或改做輕度活動度拉伸。若有尖銳疼痛請立即停止訓練。</w:t>
      </w:r>
    </w:p>
    <w:p>
      <w:pPr>
        <w:pStyle w:val="Heading1"/>
      </w:pPr>
      <w:r>
        <w:t>五、 220 Triathlon 最新鐵人訓練新知與建議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結合國際知名鐵人三項網站 </w:t>
      </w:r>
      <w:r>
        <w:rPr>
          <w:rFonts w:ascii="Calibri" w:hAnsi="Calibri" w:eastAsia="Microsoft JhengHei"/>
          <w:b/>
          <w:color w:val="1F4D78"/>
          <w:sz w:val="22"/>
        </w:rPr>
        <w:t>220 Triathlon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的最新訓練新知，為您提供本週與後續訓練的關鍵建議：</w:t>
        <w:br/>
        <w:br/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基礎期的三大核心任務：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的教練強調，基礎期 (Base Phase) 的主要目標是提高「有氧效率」、「代謝脂肪燃燒能力」以及「肌肉防傷彈性」。本週您的 4 次跑步中有 3 次為 Zone 2 (有氧慢跑)，務必將心率裝在區間內，不要超速，以達最佳脂肪代謝效果。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腸胃耐受性訓練 (Gut Training)：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營養常被稱為鐵人三項的「第五學科」。220 專欄指出，長距離跑步（如本週日 90 分鐘 Zone 2）是練習「腸胃吸收果膠與水分」的最佳時機。不要等到比賽才用，在每次超過 70 分鐘的訓練中，嘗試每 30–45 分鐘攝取 30g 碳水化合物，訓練小腸的吸收能力，避免比賽日腸胃不適。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傾聽身體而非盲從數據 (Listen to Your Body)：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當前科技產品發達，但頂尖教練提醒，過度關注手錶數據可能導致焦慮或忽視過度訓練。若本週因 4 次跑步與 2 次主肌力課表感到腿部關節緊繃，應以「體感自覺強度 (RPE)」為準，將跑步配速下調，或將肌力課表強度減半，主動恢復。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夏季高溫水分流失補給：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七月夏日炎熱，汗液流失極快。教練建議在進行 1 小時以上的跑步時，每 15 分鐘固定小口補水，每小時目標補水量為 500–750ml，並搭配電解質鹽錠，以維持血鈉平衡，避免抽筋。</w:t>
      </w:r>
    </w:p>
    <w:p>
      <w:pPr>
        <w:pStyle w:val="Heading1"/>
      </w:pPr>
      <w:r>
        <w:t>六、 IM226 挑戰 11 小時內完賽 (Sub-11) 攻略指引</w:t>
      </w:r>
    </w:p>
    <w:p>
      <w:r>
        <w:t>為協助您突破個人最佳紀錄 (11:38) 闖入 11 小時內，結合運動科學與知名鐵人網站 220 Triathlon 的 Sub-11 攻略分析如下：</w:t>
      </w:r>
    </w:p>
    <w:p>
      <w:pPr>
        <w:pStyle w:val="Heading3"/>
      </w:pPr>
      <w:r>
        <w:t>(一) 完賽時間目標拆解 (Sub-11 Target Split vs PB)</w:t>
      </w:r>
    </w:p>
    <w:tbl>
      <w:tblPr>
        <w:tblStyle w:val="TableGrid"/>
        <w:tblW w:type="dxa" w:w="941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000"/>
        <w:gridCol w:w="3200"/>
        <w:gridCol w:w="2410"/>
      </w:tblGrid>
      <w:tr>
        <w:tc>
          <w:tcPr>
            <w:tcW w:type="dxa" w:w="18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2024 普悠瑪 (PB)</w:t>
            </w:r>
          </w:p>
        </w:tc>
        <w:tc>
          <w:tcPr>
            <w:tcW w:type="dxa" w:w="32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Sub-11 目標配速</w:t>
            </w:r>
          </w:p>
        </w:tc>
        <w:tc>
          <w:tcPr>
            <w:tcW w:type="dxa" w:w="241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目標削減時間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(3.8k)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01:19:36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01:12:00 (配速 ~1:53/100m)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- 7 分 36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00:04:47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(動作流暢，省下無謂時間)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 分 17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自行車 (180k)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05:37:55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05:25:00 (均速 ~33.2 km/h)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- 12 分 55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00:06:04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(快速穿鞋，省下無謂時間)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- 2 分 34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(42.2k)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04:30:01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04:11:00 (配速 ~5:56/km)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- 19 分 01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總計 (Total)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11:38:24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10:55:00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- 43 分 24 秒</w:t>
            </w:r>
          </w:p>
        </w:tc>
      </w:tr>
    </w:tbl>
    <w:p>
      <w:pPr>
        <w:pStyle w:val="Heading3"/>
      </w:pPr>
      <w:r>
        <w:t>🎯 重點突破口分析：</w:t>
        <w:br/>
        <w:t>跑步（Marathon）是您的最大突破點！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>您在 Puyuma 的自行車成績已達極高水準的 5:37 (均速 32 km/h)，但這也可能造成跑步段掉速至 4:30。若能在自行車項目保持節制，並大幅增強跑步的「關節衝擊耐受性」，將跑步成績拉到 4:10 內，即可輕鬆跨過 11 小時大關。轉換區 (T1 &amp; T2) 同樣有合計約 4 分鐘的免費速度可以壓榨！</w:t>
      </w:r>
    </w:p>
    <w:p>
      <w:pPr>
        <w:pStyle w:val="Heading3"/>
      </w:pPr>
      <w:r>
        <w:t>(二) 訓練與配速策略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游泳 (Swim) - 「跟車」與流暢度：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的公開水域專欄指出，完美的跟游 (Drafting) 能為您省下 18-25% 的阻力與體能。不要孤軍奮戰，在出水前最後 200 米稍微加快打腿頻率，活化腿部血管，為 T1 和騎車做準備。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自行車 (Bike) - FTP 節制控制：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Best Bike Split 的功率模型，Sub-11 選手的單車強度因子 (IF) 應嚴格控制在 65% - 72% FTP。在上坡、逆風時，切忌暴衝（維持心率在 Zone 2/3 邊界）。保留腿部力量，是保障跑步段不抽筋、維持配速的前提。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 (Run) - 「鐵人小步跑」防傷：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80/20 Endurance 指出，在 226 最後的全馬中，核心在於「步頻」而非步幅，練習低騰空、低衝擊的 Ironman Shuffle，保持每分鐘 175-180 的步頻，起跑前兩公里刻意壓低配速，防止大腿提早力竭。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肌力訓練 (Strength) - 姿勢維持力：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的肌力專題指出，跑步後半程姿勢崩潰是掉速與受傷主因。本週的單腳硬舉與分腿蹲，旨在訓練您的單腿著地剛性；而側棒式與帕羅夫壓則能加強核心的側向抗扭轉，維持跑步時的骨盆水平。</w:t>
        <w:br/>
      </w:r>
    </w:p>
    <w:p>
      <w:pPr>
        <w:pStyle w:val="Heading3"/>
      </w:pPr>
      <w:r>
        <w:t>(三) 關鍵補給與水合策略 (Nutrition &amp; Hydration)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糖分吸收目標 80-90g/hr：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指明，要挑戰 Sub-11，補給不可有任何折扣。在自行車階段，每小時必須攝取 80–90 克的碳水化合物（如 3-4 包能量果膠或高碳水運動飲料）。請在週六、週日的長距離練習中反覆練習「腸胃耐受性訓練 (Gut Training)」，讓身體適應高碳水吸收速率。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多重傳輸糖比例：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建議選用 maltodextrin : fructose (葡萄糖/麥芽糊精 : 果糖) 比例為 1:0.8 或 2:1 的產品，透過不同的腸道通道吸收，將吸收率最大化並降低腸胃發炎機率。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跑步段避開固體補給：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Roadman Cycling 研究，跑步時血液集中在四肢肌肉，胃部消化能力極低。在路跑段一律使用液體、果膠或軟糖補給，切忌在水站攝取難消化的固體食物，避免造成消化不良或嘔吐。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水合與鈉離子平衡：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每小時目標攝取 500-750ml 水分，並依據個人汗流率，每升水分中應含有 500-1000mg 的鈉。出汗量大時需加服鹽錠。</w:t>
        <w:br/>
      </w:r>
    </w:p>
    <w:p>
      <w:pPr>
        <w:pStyle w:val="Heading3"/>
      </w:pPr>
      <w:r>
        <w:t>(四) 最新運動科學新知 (Sports Science News)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高碳水吸收新突破：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Precision Fuel &amp; Hydration 最新研究，高階長距離運動員若經過適當的「腸胃訓練」，每小時的碳水化合物吸收量可提升至 100-120g。這能為後半程馬拉松提供源源不絕的肝醣來源，徹底擺脫撞牆期，這是 Sub-11 選手的重要分水嶺。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2026-07-06 至 2026-07-12 | 本週主課 B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週訓練整合與完賽成效分析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