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31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週期：2026/07/27－2026/08/02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上週（07/20–07/26）整體課表時間完成度達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94.9%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92.1%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11.10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277.5%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146.91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39.36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122.2%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11.10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146.91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39.36 km）。轉換跑與長跑步頻節奏保持良好，請繼續維持肌肉衝擊適應。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19.37 km、週騎量 75.82 km、週游量 8.13 km (整體執行率 68.7%)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04:26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全場未抽筋)：11:19 – 11:34 (預估中位數 11:26)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體力適當分配)：11:31 – 11:55 (預估中位數 11:43)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(後半程馬拉松掉速/抽筋)：11:46 – 12:21 (預估中位數 12:01)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07/27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 (減量週)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07/28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07/29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07/30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Endurance＋Run: 轉換跑 20分鐘（6:30~6:00）＋Bike: FTP 測試(沒測試下週期FTP+3%) or Endurance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07/31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08/02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 5:40~6:00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A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 (Split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(強化單腿力量與平衡)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 (強化臀大肌與大腿後側膕繩肌)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 (Single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(訓練腳踝與髖關節穩定)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 (強化核心側向抗側彎能力)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(核心抗伸展能力)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(加強小腿與跟腱強度)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2026-07-27 至 2026-08-02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