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JhengHei"/>
          <w:b/>
          <w:color w:val="1F4D78"/>
          <w:sz w:val="44"/>
        </w:rPr>
        <w:t>當週訓練執行率回顧報告 (W36)</w:t>
      </w:r>
    </w:p>
    <w:p>
      <w:r>
        <w:rPr>
          <w:rFonts w:ascii="Calibri" w:hAnsi="Calibri" w:eastAsia="Microsoft JhengHei"/>
          <w:b w:val="0"/>
          <w:color w:val="555555"/>
          <w:sz w:val="20"/>
        </w:rPr>
        <w:t>週期：2026/08/31–2026/09/06　｜　整體時間執行率：67.0%</w:t>
      </w:r>
    </w:p>
    <w:p>
      <w:pPr>
        <w:pStyle w:val="Heading1"/>
      </w:pPr>
      <w:r>
        <w:t>一、 當週數據統計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1100"/>
        <w:gridCol w:w="1100"/>
        <w:gridCol w:w="1100"/>
        <w:gridCol w:w="1100"/>
        <w:gridCol w:w="1100"/>
        <w:gridCol w:w="1100"/>
        <w:gridCol w:w="1000"/>
      </w:tblGrid>
      <w:tr>
        <w:tc>
          <w:tcPr>
            <w:tcW w:type="dxa" w:w="1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項目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實際時間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時間執行率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計劃距離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實際距離</w:t>
            </w:r>
          </w:p>
        </w:tc>
        <w:tc>
          <w:tcPr>
            <w:tcW w:type="dxa" w:w="11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距離執行率</w:t>
            </w:r>
          </w:p>
        </w:tc>
        <w:tc>
          <w:tcPr>
            <w:tcW w:type="dxa" w:w="10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總堂數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游泳 (Swim)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2.22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73.9%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6.60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單車 (Bike)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7.75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4.23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54.6%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119.73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跑步 (Run)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4.58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3.82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83.3%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58.40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28.74 km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49.2%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</w:t>
            </w:r>
          </w:p>
        </w:tc>
      </w:tr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肌力 (Strength)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0.00 hr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0.0%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-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</w:t>
            </w:r>
          </w:p>
        </w:tc>
      </w:tr>
    </w:tbl>
    <w:p>
      <w:pPr>
        <w:pStyle w:val="Heading1"/>
      </w:pPr>
      <w:r>
        <w:t>二、 每日課表執行明細</w:t>
      </w:r>
    </w:p>
    <w:tbl>
      <w:tblPr>
        <w:tblStyle w:val="TableGrid"/>
        <w:tblW w:type="dxa" w:w="96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2750"/>
        <w:gridCol w:w="1050"/>
        <w:gridCol w:w="1500"/>
        <w:gridCol w:w="1500"/>
        <w:gridCol w:w="1810"/>
      </w:tblGrid>
      <w:tr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日期</w:t>
            </w:r>
          </w:p>
        </w:tc>
        <w:tc>
          <w:tcPr>
            <w:tcW w:type="dxa" w:w="27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課表名稱</w:t>
            </w:r>
          </w:p>
        </w:tc>
        <w:tc>
          <w:tcPr>
            <w:tcW w:type="dxa" w:w="105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類型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計畫(時間/距離)</w:t>
            </w:r>
          </w:p>
        </w:tc>
        <w:tc>
          <w:tcPr>
            <w:tcW w:type="dxa" w:w="150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實際(時間/距離)</w:t>
            </w:r>
          </w:p>
        </w:tc>
        <w:tc>
          <w:tcPr>
            <w:tcW w:type="dxa" w:w="1810"/>
            <w:shd w:fill="5959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JhengHei"/>
                <w:b/>
                <w:color w:val="FFFFFF"/>
                <w:sz w:val="20"/>
              </w:rPr>
              <w:t>狀態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08/31</w:t>
              <w:br/>
              <w:t>週一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Off: Build 1-1 Day Off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Day Off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⏸️ 完全休息日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09/01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8X3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45分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35分 / 17.32km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(78%,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09/01</w:t>
              <w:br/>
              <w:t>週二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Running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85分 / 12.40km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99分 / 12.04km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⚡ 超額完成 (116%, A)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09/02</w:t>
              <w:br/>
              <w:t>週三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70分 / 3.45km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(78%,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09/03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TEMPO 2x20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65分 / 32.10km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🟠 自覺調整 (72%, B+)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09/03</w:t>
              <w:br/>
              <w:t>週四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Brick 30~40min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7.00km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40分 / 4.96km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✅ 精準達標 (100%, A+)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09/04</w:t>
              <w:br/>
              <w:t>週五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Swim: 甜 課表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Swim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63分 / 3.15km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🟠 自覺調整 (70%, B+)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09/05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Threshold 12x3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180分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154分 / 70.31km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(86%,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09/05</w:t>
              <w:br/>
              <w:t>週六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1.5 (15分熱身 / 60分鐘心率150以下 / 15分鐘緩和)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120分 / 19.00km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90分 / 11.74km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🟢 良好達標 (75%, A-)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Bike: Endurance 2.5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Bike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150分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09/06</w:t>
              <w:br/>
              <w:t>週日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Run: Easy 1.5 小時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Run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30分 / 20.00km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0分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JhengHei"/>
                <w:b w:val="0"/>
                <w:color w:val="000000"/>
                <w:sz w:val="19"/>
              </w:rPr>
              <w:t>❌ 未執行/待排程</w:t>
            </w:r>
          </w:p>
        </w:tc>
      </w:tr>
    </w:tbl>
    <w:p>
      <w:pPr>
        <w:pStyle w:val="Heading1"/>
      </w:pPr>
      <w:r>
        <w:t>三、 教練視角綜合解析與後續建議</w:t>
      </w:r>
    </w:p>
    <w:p>
      <w:r>
        <w:rPr>
          <w:rFonts w:ascii="Calibri" w:hAnsi="Calibri" w:eastAsia="Microsoft JhengHei"/>
          <w:b/>
          <w:color w:val="2E74B5"/>
          <w:sz w:val="24"/>
        </w:rPr>
        <w:t>1. 執行亮點與成效分析 (Execution Highlights &amp; Milestone Analytics)</w:t>
      </w:r>
    </w:p>
    <w:p>
      <w:r>
        <w:t>• 當週累積自行車 119.73 km、跑步 28.74 km、游泳 6.60 km，整體時間執行率達 67.0%。</w:t>
        <w:br/>
      </w:r>
      <w:r>
        <w:t>• Build 1-1 第一建構期旗開得勝：本週正式邁入專項建構期，截至週六已完成自行車 119.73 km、跑步 28.74 km、游泳 6.60 km，三項累積總時長突破 10 小時 15 分，專項速度、閾值衝擊、轉換適應與流線水感全面開展！</w:t>
        <w:br/>
      </w:r>
      <w:r>
        <w:t>• 週六單車 Threshold 12x3 (70.31km) ＋ 轉換跑 1.5h (11.74km) 頂尖雙課表：9/5 單車 2h35m (NP 157W, 151.4 TSS, 均心 145 bpm, 均踏頻 86 rpm)，精準執行 3 組 95-105% FTP 閾值衝刺；下車後僅 7 分鐘無縫換鞋接續 90 分鐘長跑，嚴格遵循心率 150 bpm 以下紀律 (均心 145 bpm, 46.1 rTSS)，單日轉換合繳 197.5 TSS、82.05 km，極佳模擬 226 後段轉向抗疲勞能力！</w:t>
        <w:br/>
      </w:r>
      <w:r>
        <w:t>• 週四單車 TEMPO 2x20 (32.10km) ＋ 轉換跑 4.96km：9/3 順利吃下 65 分鐘單車 (均速 29.63 km/h) ＋ 40 分鐘轉換跑 (步頻 172 spm)，轉換神經肌肉適應極佳。</w:t>
        <w:br/>
      </w:r>
      <w:r>
        <w:t>• 週三 3,450m 甜甜泳課低心率流暢巡航：9/2 游泳 70 分鐘 (均速 2:02.5/100m, 均心率 114 bpm, sTSS 97.8, 脫鉤率 -20.90% Spd:HR)，在低於乳酸閾值極省力狀態下維持流暢水感與核心流線型，並發揮極佳的下肢動態排酸效果。</w:t>
        <w:br/>
      </w:r>
      <w:r>
        <w:t>• 週二 12.04km 跑步間歇與 17.32km 單車階梯間歇：9/1 跑步包含 6 組 400m 速度間歇（配速 3:57~4:09/km、均瓦 369-398W）與單車 3 組階梯推進 (171W -&gt; 184W -&gt; 204W 閾值衝刺)。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2. 需注意的細節與配速/功率紀律 (Key Watchpoints &amp; Power Pacing)</w:t>
      </w:r>
    </w:p>
    <w:p>
      <w:r>
        <w:t>• 自行車功率控制與有氧冷卻：對標 Sub-11 藍圖 (5h30m / 140W-145W)，長距離 LSD 前段克制輸出在 140W-150W，TEMPO 課表守在 155W-165W，爬坡嚴守 174W (85% FTP) 上限；下車前最後 10–15 公里主動降瓦至 123W–133W 並維持 85–90 rpm 高踏頻冷卻。</w:t>
        <w:br/>
      </w:r>
      <w:r>
        <w:t>• 下車轉換跑步頻與著地剛性：下車後跑步前 5 公里維持 175–180 spm 小步幅高步頻，觸地時間控制在 &lt;270ms，垂直比 &lt;9%，心率巡航在 145-155 bpm，保護膝蓋與全馬關節剛性。</w:t>
        <w:br/>
      </w:r>
      <w:r>
        <w:t>• 游泳長距離巡航手感定型：保持放鬆 Zone 1-2 低心率划水與核心流線型，出水前練習抬頭定位 (Sighting) 節奏，目標直指 Sub-11 1:12:00 (1:53/100m) 配速線。</w:t>
        <w:br/>
      </w:r>
    </w:p>
    <w:p>
      <w:r>
        <w:rPr>
          <w:rFonts w:ascii="Calibri" w:hAnsi="Calibri" w:eastAsia="Microsoft JhengHei"/>
          <w:b/>
          <w:color w:val="2E74B5"/>
          <w:sz w:val="24"/>
        </w:rPr>
        <w:t>3. 恢復與能量補給指南 (Recovery &amp; Fueling Protocol)</w:t>
      </w:r>
    </w:p>
    <w:p>
      <w:r>
        <w:t>• 補水與電解質補充：高溫與大消耗訓練後，持續每 1–2 小時補充含電解質飲品，直至尿液顏色恢復清澈淡黃。</w:t>
        <w:br/>
      </w:r>
      <w:r>
        <w:t>• 醣類與蛋白質黃金窗口：課表後 30 分鐘內充足補充碳水化合物與每公斤體重 1.5–2.0g 優質蛋白質，促進肌糖原快速回補與肌纖維修復。</w:t>
        <w:br/>
      </w:r>
      <w:r>
        <w:t>• 睡眠管理與超補償：維持每晚 8 小時優質深層睡眠，促進生長激素分泌以利神經系統吸收本週超補償效益。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b w:val="0"/>
        <w:color w:val="777777"/>
        <w:sz w:val="18"/>
      </w:rPr>
      <w:t>W36 執行率報告 | 2026-08-31 ~ 2026-09-06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JhengHei"/>
        <w:b w:val="0"/>
        <w:color w:val="666666"/>
        <w:sz w:val="18"/>
      </w:rPr>
      <w:t>TrainingPeaks 當週訓練執行率回顧報告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