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(W29)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週期：2026/07/13–2026/07/19　｜　整體時間執行率：39.2%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91.7%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10.72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268.0%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1.22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22.1%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33.64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0.50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35.00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4.59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13.1%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1100"/>
        <w:gridCol w:w="1600"/>
        <w:gridCol w:w="1600"/>
        <w:gridCol w:w="1160"/>
      </w:tblGrid>
      <w:tr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1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07/13</w:t>
              <w:br/>
              <w:t>週一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Day Off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休息日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07/14</w:t>
              <w:br/>
              <w:t>週二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Open Water Swimming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12分 / 0.37km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3.20km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07/15</w:t>
              <w:br/>
              <w:t>週三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Cycling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13分 / 3.83km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3 sets of 5x1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 / 29.81km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07/16</w:t>
              <w:br/>
              <w:t>週四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4.59km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07/17</w:t>
              <w:br/>
              <w:t>週五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58分 / 2.90km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270分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07/18</w:t>
              <w:br/>
              <w:t>週六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轉換75分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13.00km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貓空～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22.00km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07/19</w:t>
              <w:br/>
              <w:t>週日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4000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4.00km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87分 / 4.25km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W29 執行率報告 | 2026-07-13 ~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