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整體時間執行率：11.3%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12.04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12.04 km、游泳 0.00 km，整體時間執行率達 11.3%。</w:t>
        <w:br/>
      </w:r>
      <w:r>
        <w:t>• Build 1-1 第一建構期旗開得勝：本週正式邁入專項建構期，週二跑步課表扎實吃下 12.04 km (99 分鐘)，單日累積 79 rTSS，專項速度與耐力建構起步極佳！</w:t>
        <w:br/>
      </w:r>
      <w:r>
        <w:t>• 週二 12.04km 跑步間歇與專項耐力高質量完成：9/1 跑步包含 6 組 400m 速度間歇（配速 3:57~4:09/km、均瓦 369-398W、步頻 183-190 spm、垂直比 6-7% 頂尖經濟性）與接續節奏跑，均心率 147 bpm，脫鉤率 (-9.25% Pw:HR / -6.87% Spd:HR) 展現極佳的心肺穩定度與下肢抗疲勞剛性。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