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(W41)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週期：2026/10/05–2026/10/11　｜　整體時間執行率：90.3%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2.97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98.9%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2.30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8.80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382.6%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6.60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5.27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79.8%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149.15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149.2%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4.48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4.48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44.40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44.20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99.5%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1050"/>
        <w:gridCol w:w="1500"/>
        <w:gridCol w:w="1500"/>
        <w:gridCol w:w="1810"/>
      </w:tblGrid>
      <w:tr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7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81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10/05</w:t>
              <w:br/>
              <w:t>週一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Build 1-4 Day Off 減量週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⏸️ 完全休息日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10/06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雨天備案：Threshold 9x3 (92%)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10/06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漸快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 / 12.40km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93分 / 13.45km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⚡ 超額完成 (116%, A)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10/07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Endurance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10/07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64分 / 3.20km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(85%,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10/08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比賽配速 22x3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91分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91分 / 47.73km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10/08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32分 / 5.00km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32分 / 6.11km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10/09</w:t>
              <w:br/>
              <w:t>週五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69分 / 3.20km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⚡ 超額完成 (115%, A)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10/10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故宮～中角灣（補水不休息）～故宮 Slope Cafe (T2)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190分 / 100.00km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225分 / 101.42km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⚡ 超額完成 (118%, A)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10/10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T2 ～中社～往仰德大道的小徑，跑到仰德（折返回T2）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85分 / 14.50km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72分 / 11.37km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(85%,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10/11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比賽配速 (本日重點)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72分 / 12.50km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72分 / 13.27km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10/11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 / 2.30km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 / 2.40km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執行亮點與成效分析 (Execution Highlights &amp; Milestone Analytics)</w:t>
      </w:r>
    </w:p>
    <w:p>
      <w:r>
        <w:t>• 當週累積自行車 149.15 km、跑步 44.20 km、游泳 8.80 km，整體時間執行率達 90.3%。</w:t>
        <w:br/>
      </w:r>
      <w:r>
        <w:t>• 長距離單車扎實完成，左右踩踏發力極為平衡 (50.5% / 49.5%)，座艙穩定度高。</w:t>
        <w:br/>
      </w:r>
      <w:r>
        <w:t>• 順利完成 17.52 km 長跑（總爬升 +327m），平路河濱漸速至 5:26/km，上坡穩健控心率並自覺補水折返，下坡迅速拉高步頻收尾。</w:t>
        <w:br/>
      </w:r>
      <w:r>
        <w:t>• 游泳實游 4,100m，雙組 1,600m 自由式持續游繳出 1:56~1:58/100m 高度一致均速與 140 bpm 穩定心率，水感極佳。</w:t>
        <w:br/>
      </w:r>
      <w:r>
        <w:t>• 在高負荷訓練後無縫銜接轉換跑，並依據即時心率與體感自覺彈性調整，兼顧神經肌肉適應與傷害防範。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需注意的細節與配速/功率紀律 (Key Watchpoints &amp; Power Pacing)</w:t>
      </w:r>
    </w:p>
    <w:p>
      <w:r>
        <w:t>• 自行車功率控制與有氧冷卻：對標 Sub-11 藍圖 (5h30m / 140W-145W)，長距離 LSD 前段克制輸出在 140W-150W，TEMPO 課表守在 155W-165W，爬坡嚴守 174W (85% FTP) 上限；下車前最後 10–15 公里主動降瓦至 123W–133W 並維持 85–90 rpm 高踏頻冷卻。</w:t>
        <w:br/>
      </w:r>
      <w:r>
        <w:t>• 下車轉換跑步頻與著地剛性：下車後跑步前 5 公里維持 175–180 spm 小步幅高步頻，觸地時間控制在 &lt;270ms，垂直比 &lt;9%，心率巡航在 145-155 bpm，保護膝蓋與全馬關節剛性。</w:t>
        <w:br/>
      </w:r>
      <w:r>
        <w:t>• 游泳長距離巡航手感定型：保持放鬆 Zone 1-2 低心率划水與核心流線型，出水前練習抬頭定位 (Sighting) 節奏，目標直指 Sub-11 1:12:00 (1:53/100m) 配速線。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補水與電解質補充：高溫與大消耗訓練後，持續每 1–2 小時補充含電解質飲品，直至尿液顏色恢復清澈淡黃。</w:t>
        <w:br/>
      </w:r>
      <w:r>
        <w:t>• 醣類與蛋白質黃金窗口：課表後 30 分鐘內充足補充碳水化合物與每公斤體重 1.5–2.0g 優質蛋白質，促進肌糖原快速回補與肌纖維修復。</w:t>
        <w:br/>
      </w:r>
      <w:r>
        <w:t>• 睡眠管理與超補償：維持每晚 8 小時優質深層睡眠，促進生長激素分泌以利神經系統吸收本週超補償效益。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W41 執行率報告 | 2026-10-05 ~ 2026-10-11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